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E8D9" w14:textId="1077301C" w:rsidR="008023A9" w:rsidRDefault="00A22EDE" w:rsidP="00AC4E82">
      <w:pPr>
        <w:jc w:val="center"/>
        <w:rPr>
          <w:b/>
          <w:bCs/>
          <w:sz w:val="32"/>
          <w:szCs w:val="32"/>
        </w:rPr>
      </w:pPr>
      <w:r>
        <w:rPr>
          <w:b/>
          <w:bCs/>
          <w:sz w:val="32"/>
          <w:szCs w:val="32"/>
        </w:rPr>
        <w:t xml:space="preserve">                                                                             </w:t>
      </w:r>
      <w:r w:rsidR="00C97888">
        <w:rPr>
          <w:noProof/>
        </w:rPr>
        <w:drawing>
          <wp:inline distT="0" distB="0" distL="0" distR="0" wp14:anchorId="21F4EBFD" wp14:editId="4C0DFF9B">
            <wp:extent cx="1983600" cy="13392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600" cy="1339200"/>
                    </a:xfrm>
                    <a:prstGeom prst="rect">
                      <a:avLst/>
                    </a:prstGeom>
                    <a:noFill/>
                    <a:ln>
                      <a:noFill/>
                    </a:ln>
                  </pic:spPr>
                </pic:pic>
              </a:graphicData>
            </a:graphic>
          </wp:inline>
        </w:drawing>
      </w:r>
    </w:p>
    <w:p w14:paraId="47CAD7E1" w14:textId="77777777" w:rsidR="008023A9" w:rsidRDefault="008023A9" w:rsidP="00AC4E82">
      <w:pPr>
        <w:jc w:val="center"/>
        <w:rPr>
          <w:b/>
          <w:bCs/>
          <w:sz w:val="32"/>
          <w:szCs w:val="32"/>
        </w:rPr>
      </w:pPr>
    </w:p>
    <w:p w14:paraId="2A081DF3" w14:textId="69D2C074" w:rsidR="00AC4E82" w:rsidRPr="002F62CE" w:rsidRDefault="00AC4E82" w:rsidP="00AC4E82">
      <w:pPr>
        <w:jc w:val="center"/>
        <w:rPr>
          <w:b/>
          <w:bCs/>
          <w:sz w:val="32"/>
          <w:szCs w:val="32"/>
        </w:rPr>
      </w:pPr>
      <w:r w:rsidRPr="002F62CE">
        <w:rPr>
          <w:b/>
          <w:bCs/>
          <w:sz w:val="32"/>
          <w:szCs w:val="32"/>
        </w:rPr>
        <w:t>Pathways to Economic Opportunities</w:t>
      </w:r>
      <w:r w:rsidR="00AA2854">
        <w:rPr>
          <w:b/>
          <w:bCs/>
          <w:sz w:val="32"/>
          <w:szCs w:val="32"/>
        </w:rPr>
        <w:t xml:space="preserve"> Programme (P2E</w:t>
      </w:r>
      <w:r w:rsidR="00A22EDE">
        <w:rPr>
          <w:b/>
          <w:bCs/>
          <w:sz w:val="32"/>
          <w:szCs w:val="32"/>
        </w:rPr>
        <w:t>)</w:t>
      </w:r>
      <w:r w:rsidRPr="002F62CE">
        <w:rPr>
          <w:b/>
          <w:bCs/>
          <w:sz w:val="32"/>
          <w:szCs w:val="32"/>
        </w:rPr>
        <w:t xml:space="preserve">: </w:t>
      </w:r>
      <w:r w:rsidR="00AA2854">
        <w:rPr>
          <w:b/>
          <w:bCs/>
          <w:sz w:val="32"/>
          <w:szCs w:val="32"/>
        </w:rPr>
        <w:t>S</w:t>
      </w:r>
      <w:r w:rsidRPr="002F62CE">
        <w:rPr>
          <w:b/>
          <w:bCs/>
          <w:sz w:val="32"/>
          <w:szCs w:val="32"/>
        </w:rPr>
        <w:t xml:space="preserve">upporting Black and </w:t>
      </w:r>
      <w:r w:rsidR="00AA2854">
        <w:rPr>
          <w:b/>
          <w:bCs/>
          <w:sz w:val="32"/>
          <w:szCs w:val="32"/>
        </w:rPr>
        <w:t>M</w:t>
      </w:r>
      <w:r w:rsidRPr="002F62CE">
        <w:rPr>
          <w:b/>
          <w:bCs/>
          <w:sz w:val="32"/>
          <w:szCs w:val="32"/>
        </w:rPr>
        <w:t xml:space="preserve">inority </w:t>
      </w:r>
      <w:r w:rsidR="00AA2854">
        <w:rPr>
          <w:b/>
          <w:bCs/>
          <w:sz w:val="32"/>
          <w:szCs w:val="32"/>
        </w:rPr>
        <w:t>E</w:t>
      </w:r>
      <w:r w:rsidRPr="002F62CE">
        <w:rPr>
          <w:b/>
          <w:bCs/>
          <w:sz w:val="32"/>
          <w:szCs w:val="32"/>
        </w:rPr>
        <w:t xml:space="preserve">thnic </w:t>
      </w:r>
      <w:r w:rsidR="00A22EDE">
        <w:rPr>
          <w:b/>
          <w:bCs/>
          <w:sz w:val="32"/>
          <w:szCs w:val="32"/>
        </w:rPr>
        <w:t xml:space="preserve">(BME) </w:t>
      </w:r>
      <w:r w:rsidRPr="002F62CE">
        <w:rPr>
          <w:b/>
          <w:bCs/>
          <w:sz w:val="32"/>
          <w:szCs w:val="32"/>
        </w:rPr>
        <w:t>led employment, enterprise and financial health services</w:t>
      </w:r>
    </w:p>
    <w:p w14:paraId="47C7B03B" w14:textId="2100CB09" w:rsidR="00465860" w:rsidRPr="00EC744F" w:rsidRDefault="00EC744F" w:rsidP="00465860">
      <w:pPr>
        <w:rPr>
          <w:b/>
          <w:bCs/>
          <w:sz w:val="24"/>
          <w:szCs w:val="24"/>
        </w:rPr>
      </w:pPr>
      <w:r>
        <w:rPr>
          <w:b/>
          <w:bCs/>
          <w:sz w:val="24"/>
          <w:szCs w:val="24"/>
        </w:rPr>
        <w:br/>
      </w:r>
      <w:r w:rsidR="00465860" w:rsidRPr="00EC744F">
        <w:rPr>
          <w:b/>
          <w:bCs/>
          <w:sz w:val="24"/>
          <w:szCs w:val="24"/>
        </w:rPr>
        <w:t>What is place-based investment</w:t>
      </w:r>
      <w:r w:rsidR="0060350C">
        <w:rPr>
          <w:b/>
          <w:bCs/>
          <w:sz w:val="24"/>
          <w:szCs w:val="24"/>
        </w:rPr>
        <w:t>?</w:t>
      </w:r>
    </w:p>
    <w:p w14:paraId="52C09AD4" w14:textId="4608ED19" w:rsidR="00465860" w:rsidRPr="0025578E" w:rsidRDefault="001432A0" w:rsidP="008E37E7">
      <w:pPr>
        <w:rPr>
          <w:sz w:val="24"/>
          <w:szCs w:val="24"/>
        </w:rPr>
      </w:pPr>
      <w:r w:rsidRPr="00E7307D">
        <w:rPr>
          <w:sz w:val="24"/>
          <w:szCs w:val="24"/>
        </w:rPr>
        <w:t xml:space="preserve">As part of the process </w:t>
      </w:r>
      <w:r w:rsidR="00321A5F" w:rsidRPr="00E7307D">
        <w:rPr>
          <w:sz w:val="24"/>
          <w:szCs w:val="24"/>
        </w:rPr>
        <w:t>of social change, p</w:t>
      </w:r>
      <w:r w:rsidR="00465860" w:rsidRPr="00E7307D">
        <w:rPr>
          <w:sz w:val="24"/>
          <w:szCs w:val="24"/>
        </w:rPr>
        <w:t>lace-based investment</w:t>
      </w:r>
      <w:r w:rsidR="00DE6AE0" w:rsidRPr="00E7307D">
        <w:rPr>
          <w:sz w:val="24"/>
          <w:szCs w:val="24"/>
        </w:rPr>
        <w:t xml:space="preserve"> </w:t>
      </w:r>
      <w:r w:rsidR="005759CD" w:rsidRPr="00E7307D">
        <w:rPr>
          <w:sz w:val="24"/>
          <w:szCs w:val="24"/>
        </w:rPr>
        <w:t xml:space="preserve">provides financial support </w:t>
      </w:r>
      <w:r w:rsidR="00380985" w:rsidRPr="00E7307D">
        <w:rPr>
          <w:sz w:val="24"/>
          <w:szCs w:val="24"/>
        </w:rPr>
        <w:t xml:space="preserve">to effecting change </w:t>
      </w:r>
      <w:r w:rsidR="00822C0A" w:rsidRPr="00E7307D">
        <w:rPr>
          <w:sz w:val="24"/>
          <w:szCs w:val="24"/>
        </w:rPr>
        <w:t>over a geographical area</w:t>
      </w:r>
      <w:r w:rsidR="00440E61" w:rsidRPr="00E7307D">
        <w:rPr>
          <w:sz w:val="24"/>
          <w:szCs w:val="24"/>
        </w:rPr>
        <w:t xml:space="preserve"> and it is </w:t>
      </w:r>
      <w:r w:rsidR="00DE6AE0" w:rsidRPr="00E7307D">
        <w:rPr>
          <w:sz w:val="24"/>
          <w:szCs w:val="24"/>
        </w:rPr>
        <w:t xml:space="preserve">not </w:t>
      </w:r>
      <w:r w:rsidR="00440E61" w:rsidRPr="00E7307D">
        <w:rPr>
          <w:sz w:val="24"/>
          <w:szCs w:val="24"/>
        </w:rPr>
        <w:t xml:space="preserve">a </w:t>
      </w:r>
      <w:r w:rsidR="00BF6877" w:rsidRPr="00E7307D">
        <w:rPr>
          <w:sz w:val="24"/>
          <w:szCs w:val="24"/>
        </w:rPr>
        <w:t>new</w:t>
      </w:r>
      <w:r w:rsidR="00440E61" w:rsidRPr="00E7307D">
        <w:rPr>
          <w:sz w:val="24"/>
          <w:szCs w:val="24"/>
        </w:rPr>
        <w:t xml:space="preserve"> </w:t>
      </w:r>
      <w:r w:rsidR="00D825E3" w:rsidRPr="00E7307D">
        <w:rPr>
          <w:sz w:val="24"/>
          <w:szCs w:val="24"/>
        </w:rPr>
        <w:t>approach</w:t>
      </w:r>
      <w:r w:rsidR="006F11CA" w:rsidRPr="00E7307D">
        <w:rPr>
          <w:sz w:val="24"/>
          <w:szCs w:val="24"/>
        </w:rPr>
        <w:t xml:space="preserve">. </w:t>
      </w:r>
      <w:r w:rsidR="00465860" w:rsidRPr="00E7307D">
        <w:rPr>
          <w:sz w:val="24"/>
          <w:szCs w:val="24"/>
        </w:rPr>
        <w:t>There is a large body of literature on place-based work in general, with significant international literature on the approach (Anheier and Leat, 2006</w:t>
      </w:r>
      <w:r w:rsidR="00465860" w:rsidRPr="00E7307D">
        <w:rPr>
          <w:rStyle w:val="FootnoteReference"/>
          <w:rFonts w:cstheme="minorHAnsi"/>
          <w:sz w:val="24"/>
          <w:szCs w:val="24"/>
        </w:rPr>
        <w:footnoteReference w:id="1"/>
      </w:r>
      <w:r w:rsidR="00465860" w:rsidRPr="00E7307D">
        <w:rPr>
          <w:sz w:val="24"/>
          <w:szCs w:val="24"/>
        </w:rPr>
        <w:t>; Association for the Study and Development of Community, 2007</w:t>
      </w:r>
      <w:r w:rsidR="00465860" w:rsidRPr="00E7307D">
        <w:rPr>
          <w:rStyle w:val="FootnoteReference"/>
          <w:rFonts w:cstheme="minorHAnsi"/>
          <w:sz w:val="24"/>
          <w:szCs w:val="24"/>
        </w:rPr>
        <w:footnoteReference w:id="2"/>
      </w:r>
      <w:r w:rsidR="00465860" w:rsidRPr="00E7307D">
        <w:rPr>
          <w:sz w:val="24"/>
          <w:szCs w:val="24"/>
        </w:rPr>
        <w:t>; Lankelly Chase, 2017</w:t>
      </w:r>
      <w:r w:rsidR="00465860" w:rsidRPr="00E7307D">
        <w:rPr>
          <w:rStyle w:val="FootnoteReference"/>
          <w:rFonts w:cstheme="minorHAnsi"/>
          <w:sz w:val="24"/>
          <w:szCs w:val="24"/>
        </w:rPr>
        <w:footnoteReference w:id="3"/>
      </w:r>
      <w:r w:rsidR="00465860" w:rsidRPr="00E7307D">
        <w:rPr>
          <w:sz w:val="24"/>
          <w:szCs w:val="24"/>
        </w:rPr>
        <w:t>). What they all seem to agree is that the term ‘place</w:t>
      </w:r>
      <w:r w:rsidR="00B12693" w:rsidRPr="00E7307D">
        <w:rPr>
          <w:sz w:val="24"/>
          <w:szCs w:val="24"/>
        </w:rPr>
        <w:t>-</w:t>
      </w:r>
      <w:r w:rsidR="00465860" w:rsidRPr="00E7307D">
        <w:rPr>
          <w:sz w:val="24"/>
          <w:szCs w:val="24"/>
        </w:rPr>
        <w:t>based’, has links to relationships</w:t>
      </w:r>
      <w:r w:rsidR="00465860" w:rsidRPr="005408AE">
        <w:t xml:space="preserve"> </w:t>
      </w:r>
      <w:r w:rsidR="00465860" w:rsidRPr="00352C51">
        <w:rPr>
          <w:sz w:val="24"/>
          <w:szCs w:val="24"/>
        </w:rPr>
        <w:t xml:space="preserve">to foundations or national government bodies, </w:t>
      </w:r>
      <w:r w:rsidR="00B12693" w:rsidRPr="00352C51">
        <w:rPr>
          <w:sz w:val="24"/>
          <w:szCs w:val="24"/>
        </w:rPr>
        <w:t xml:space="preserve">which </w:t>
      </w:r>
      <w:r w:rsidR="00465860" w:rsidRPr="00352C51">
        <w:rPr>
          <w:sz w:val="24"/>
          <w:szCs w:val="24"/>
        </w:rPr>
        <w:t>describe</w:t>
      </w:r>
      <w:r w:rsidR="00CF7A0E" w:rsidRPr="00352C51">
        <w:rPr>
          <w:sz w:val="24"/>
          <w:szCs w:val="24"/>
        </w:rPr>
        <w:t>s</w:t>
      </w:r>
      <w:r w:rsidR="00465860" w:rsidRPr="00352C51">
        <w:rPr>
          <w:sz w:val="24"/>
          <w:szCs w:val="24"/>
        </w:rPr>
        <w:t xml:space="preserve"> a range of approaches</w:t>
      </w:r>
      <w:r w:rsidR="004810AB">
        <w:rPr>
          <w:sz w:val="24"/>
          <w:szCs w:val="24"/>
        </w:rPr>
        <w:t xml:space="preserve"> across a range of social concerns</w:t>
      </w:r>
      <w:r w:rsidR="00465860" w:rsidRPr="00352C51">
        <w:rPr>
          <w:sz w:val="24"/>
          <w:szCs w:val="24"/>
        </w:rPr>
        <w:t xml:space="preserve">, </w:t>
      </w:r>
      <w:r w:rsidR="00075F41" w:rsidRPr="005408AE">
        <w:rPr>
          <w:sz w:val="24"/>
          <w:szCs w:val="24"/>
        </w:rPr>
        <w:t>tackling different social issues within a specific geographic location, sometimes seen alongside grant funding and local council support</w:t>
      </w:r>
      <w:r w:rsidR="00CF7A0E" w:rsidRPr="00352C51">
        <w:rPr>
          <w:sz w:val="24"/>
          <w:szCs w:val="24"/>
        </w:rPr>
        <w:t xml:space="preserve"> (</w:t>
      </w:r>
      <w:r w:rsidR="00AA23B4" w:rsidRPr="00352C51">
        <w:rPr>
          <w:sz w:val="24"/>
          <w:szCs w:val="24"/>
        </w:rPr>
        <w:t>Education</w:t>
      </w:r>
      <w:r w:rsidR="008B77B6">
        <w:rPr>
          <w:sz w:val="24"/>
          <w:szCs w:val="24"/>
        </w:rPr>
        <w:t>,</w:t>
      </w:r>
      <w:r w:rsidR="00AA23B4" w:rsidRPr="00352C51">
        <w:rPr>
          <w:sz w:val="24"/>
          <w:szCs w:val="24"/>
        </w:rPr>
        <w:t xml:space="preserve"> Health </w:t>
      </w:r>
      <w:r w:rsidR="00154357" w:rsidRPr="00352C51">
        <w:rPr>
          <w:sz w:val="24"/>
          <w:szCs w:val="24"/>
        </w:rPr>
        <w:t xml:space="preserve">Action Zones, </w:t>
      </w:r>
      <w:r w:rsidR="00F409AA" w:rsidRPr="00352C51">
        <w:rPr>
          <w:sz w:val="24"/>
          <w:szCs w:val="24"/>
        </w:rPr>
        <w:t>and MyEnd</w:t>
      </w:r>
      <w:r w:rsidR="00AC49F7" w:rsidRPr="00352C51">
        <w:rPr>
          <w:sz w:val="24"/>
          <w:szCs w:val="24"/>
        </w:rPr>
        <w:t>s</w:t>
      </w:r>
      <w:r w:rsidR="00AC49F7" w:rsidRPr="00352C51">
        <w:rPr>
          <w:rStyle w:val="FootnoteReference"/>
          <w:rFonts w:cstheme="minorHAnsi"/>
          <w:sz w:val="24"/>
          <w:szCs w:val="24"/>
        </w:rPr>
        <w:footnoteReference w:id="4"/>
      </w:r>
      <w:r w:rsidR="00AC49F7" w:rsidRPr="00352C51">
        <w:rPr>
          <w:sz w:val="24"/>
          <w:szCs w:val="24"/>
        </w:rPr>
        <w:t xml:space="preserve">, </w:t>
      </w:r>
      <w:r w:rsidR="00465860" w:rsidRPr="00352C51">
        <w:rPr>
          <w:sz w:val="24"/>
          <w:szCs w:val="24"/>
        </w:rPr>
        <w:t>multifaceted collaborative partnerships aimed at achieving significant change</w:t>
      </w:r>
      <w:r w:rsidR="002651EE" w:rsidRPr="00352C51">
        <w:rPr>
          <w:sz w:val="24"/>
          <w:szCs w:val="24"/>
        </w:rPr>
        <w:t xml:space="preserve"> </w:t>
      </w:r>
      <w:r w:rsidR="00E47DC4" w:rsidRPr="00352C51">
        <w:rPr>
          <w:sz w:val="24"/>
          <w:szCs w:val="24"/>
        </w:rPr>
        <w:t xml:space="preserve">over </w:t>
      </w:r>
      <w:r w:rsidR="009E57BA" w:rsidRPr="00352C51">
        <w:rPr>
          <w:sz w:val="24"/>
          <w:szCs w:val="24"/>
        </w:rPr>
        <w:t xml:space="preserve">wide geographic and spatial areas </w:t>
      </w:r>
      <w:r w:rsidR="00CD15AE">
        <w:rPr>
          <w:sz w:val="24"/>
          <w:szCs w:val="24"/>
        </w:rPr>
        <w:t xml:space="preserve">such as </w:t>
      </w:r>
      <w:r w:rsidR="00AC6F03" w:rsidRPr="00352C51">
        <w:rPr>
          <w:sz w:val="24"/>
          <w:szCs w:val="24"/>
        </w:rPr>
        <w:t xml:space="preserve">partnerships as </w:t>
      </w:r>
      <w:r w:rsidR="00CD15AE">
        <w:rPr>
          <w:sz w:val="24"/>
          <w:szCs w:val="24"/>
        </w:rPr>
        <w:t xml:space="preserve">with </w:t>
      </w:r>
      <w:r w:rsidR="00AC6F03" w:rsidRPr="00352C51">
        <w:rPr>
          <w:sz w:val="24"/>
          <w:szCs w:val="24"/>
        </w:rPr>
        <w:t xml:space="preserve">the </w:t>
      </w:r>
      <w:r w:rsidR="001B0EAC" w:rsidRPr="00352C51">
        <w:rPr>
          <w:sz w:val="24"/>
          <w:szCs w:val="24"/>
        </w:rPr>
        <w:t>Lambeth, Southwark and Lewisham Sexual Health Strategy</w:t>
      </w:r>
      <w:r w:rsidR="008E37E7" w:rsidRPr="00352C51">
        <w:rPr>
          <w:sz w:val="24"/>
          <w:szCs w:val="24"/>
        </w:rPr>
        <w:t xml:space="preserve"> 2019-2024</w:t>
      </w:r>
      <w:r w:rsidR="008E37E7" w:rsidRPr="00352C51">
        <w:rPr>
          <w:rStyle w:val="FootnoteReference"/>
          <w:sz w:val="24"/>
          <w:szCs w:val="24"/>
        </w:rPr>
        <w:footnoteReference w:id="5"/>
      </w:r>
      <w:r w:rsidR="00ED5391" w:rsidRPr="00352C51">
        <w:rPr>
          <w:sz w:val="24"/>
          <w:szCs w:val="24"/>
        </w:rPr>
        <w:t>)</w:t>
      </w:r>
      <w:r w:rsidR="00465860" w:rsidRPr="00352C51">
        <w:rPr>
          <w:sz w:val="24"/>
          <w:szCs w:val="24"/>
        </w:rPr>
        <w:t>. In most cases, it is a term to describe the target location of funding</w:t>
      </w:r>
      <w:r w:rsidR="00FD0A72" w:rsidRPr="00352C51">
        <w:rPr>
          <w:sz w:val="24"/>
          <w:szCs w:val="24"/>
        </w:rPr>
        <w:t xml:space="preserve">, </w:t>
      </w:r>
      <w:r w:rsidR="00465860" w:rsidRPr="00352C51">
        <w:rPr>
          <w:sz w:val="24"/>
          <w:szCs w:val="24"/>
        </w:rPr>
        <w:t>describ</w:t>
      </w:r>
      <w:r w:rsidR="00FD0A72" w:rsidRPr="00352C51">
        <w:rPr>
          <w:sz w:val="24"/>
          <w:szCs w:val="24"/>
        </w:rPr>
        <w:t>ing</w:t>
      </w:r>
      <w:r w:rsidR="00465860" w:rsidRPr="00352C51">
        <w:rPr>
          <w:sz w:val="24"/>
          <w:szCs w:val="24"/>
        </w:rPr>
        <w:t xml:space="preserve"> style</w:t>
      </w:r>
      <w:r w:rsidR="000743B0" w:rsidRPr="00352C51">
        <w:rPr>
          <w:sz w:val="24"/>
          <w:szCs w:val="24"/>
        </w:rPr>
        <w:t>s</w:t>
      </w:r>
      <w:r w:rsidR="00465860" w:rsidRPr="00352C51">
        <w:rPr>
          <w:sz w:val="24"/>
          <w:szCs w:val="24"/>
        </w:rPr>
        <w:t xml:space="preserve"> and philosophy of approach</w:t>
      </w:r>
      <w:r w:rsidR="000743B0" w:rsidRPr="00352C51">
        <w:rPr>
          <w:sz w:val="24"/>
          <w:szCs w:val="24"/>
        </w:rPr>
        <w:t>es</w:t>
      </w:r>
      <w:r w:rsidR="00465860" w:rsidRPr="00352C51">
        <w:rPr>
          <w:sz w:val="24"/>
          <w:szCs w:val="24"/>
        </w:rPr>
        <w:t xml:space="preserve"> which seeks to achieve ‘joined-up’ systems change (Lankelly Chase, 2017; Hitchin, 2021). </w:t>
      </w:r>
    </w:p>
    <w:p w14:paraId="2BB6483D" w14:textId="44FE9C41" w:rsidR="00465860" w:rsidRPr="00542FF2" w:rsidRDefault="00465860" w:rsidP="00E6158E">
      <w:pPr>
        <w:pStyle w:val="ListParagraph"/>
        <w:ind w:left="0"/>
        <w:rPr>
          <w:rFonts w:cstheme="minorHAnsi"/>
          <w:sz w:val="24"/>
          <w:szCs w:val="24"/>
        </w:rPr>
      </w:pPr>
      <w:r w:rsidRPr="00542FF2">
        <w:rPr>
          <w:rFonts w:cstheme="minorHAnsi"/>
          <w:sz w:val="24"/>
          <w:szCs w:val="24"/>
        </w:rPr>
        <w:t>Part of the purpose of place-based approaches is to build the capacity of the community to take charge of its own future, to speak for itself, and to build social capital and connections within the community. There is no ‘right way’ of thinking about place</w:t>
      </w:r>
      <w:r w:rsidR="00A43875" w:rsidRPr="00542FF2">
        <w:rPr>
          <w:rFonts w:cstheme="minorHAnsi"/>
          <w:sz w:val="24"/>
          <w:szCs w:val="24"/>
        </w:rPr>
        <w:t>-</w:t>
      </w:r>
      <w:r w:rsidRPr="00542FF2">
        <w:rPr>
          <w:rFonts w:cstheme="minorHAnsi"/>
          <w:sz w:val="24"/>
          <w:szCs w:val="24"/>
        </w:rPr>
        <w:t>based approaches</w:t>
      </w:r>
      <w:r w:rsidR="00E6158E" w:rsidRPr="00542FF2">
        <w:rPr>
          <w:rFonts w:cstheme="minorHAnsi"/>
          <w:sz w:val="24"/>
          <w:szCs w:val="24"/>
        </w:rPr>
        <w:t xml:space="preserve">, </w:t>
      </w:r>
      <w:r w:rsidR="00E6158E" w:rsidRPr="00542FF2">
        <w:rPr>
          <w:rFonts w:cstheme="minorHAnsi"/>
          <w:sz w:val="24"/>
          <w:szCs w:val="24"/>
        </w:rPr>
        <w:lastRenderedPageBreak/>
        <w:t>which led</w:t>
      </w:r>
      <w:r w:rsidR="00673FAD" w:rsidRPr="00542FF2">
        <w:rPr>
          <w:rFonts w:cstheme="minorHAnsi"/>
          <w:sz w:val="24"/>
          <w:szCs w:val="24"/>
        </w:rPr>
        <w:t xml:space="preserve"> Hitchin (2021)</w:t>
      </w:r>
      <w:r w:rsidR="00C21A0F" w:rsidRPr="00542FF2">
        <w:rPr>
          <w:rStyle w:val="FootnoteReference"/>
          <w:rFonts w:cstheme="minorHAnsi"/>
          <w:sz w:val="24"/>
          <w:szCs w:val="24"/>
        </w:rPr>
        <w:footnoteReference w:id="6"/>
      </w:r>
      <w:r w:rsidR="003F3771" w:rsidRPr="00542FF2">
        <w:rPr>
          <w:rFonts w:cstheme="minorHAnsi"/>
          <w:sz w:val="24"/>
          <w:szCs w:val="24"/>
        </w:rPr>
        <w:t>, in his report on placed</w:t>
      </w:r>
      <w:r w:rsidR="00824B5D" w:rsidRPr="00542FF2">
        <w:rPr>
          <w:rFonts w:cstheme="minorHAnsi"/>
          <w:sz w:val="24"/>
          <w:szCs w:val="24"/>
        </w:rPr>
        <w:t xml:space="preserve">-based investment in London, </w:t>
      </w:r>
      <w:r w:rsidR="00A43875" w:rsidRPr="00542FF2">
        <w:rPr>
          <w:rFonts w:cstheme="minorHAnsi"/>
          <w:sz w:val="24"/>
          <w:szCs w:val="24"/>
        </w:rPr>
        <w:t xml:space="preserve">to </w:t>
      </w:r>
      <w:r w:rsidR="00C21A0F" w:rsidRPr="00542FF2">
        <w:rPr>
          <w:rFonts w:cstheme="minorHAnsi"/>
          <w:sz w:val="24"/>
          <w:szCs w:val="24"/>
        </w:rPr>
        <w:t>suggest fi</w:t>
      </w:r>
      <w:r w:rsidRPr="00542FF2">
        <w:rPr>
          <w:rFonts w:cstheme="minorHAnsi"/>
          <w:sz w:val="24"/>
          <w:szCs w:val="24"/>
        </w:rPr>
        <w:t xml:space="preserve">ve </w:t>
      </w:r>
      <w:r w:rsidR="00F32406" w:rsidRPr="00542FF2">
        <w:rPr>
          <w:rFonts w:cstheme="minorHAnsi"/>
          <w:sz w:val="24"/>
          <w:szCs w:val="24"/>
        </w:rPr>
        <w:t xml:space="preserve">delivery </w:t>
      </w:r>
      <w:r w:rsidR="00536243" w:rsidRPr="00542FF2">
        <w:rPr>
          <w:rFonts w:cstheme="minorHAnsi"/>
          <w:sz w:val="24"/>
          <w:szCs w:val="24"/>
        </w:rPr>
        <w:t>models</w:t>
      </w:r>
      <w:r w:rsidR="00B45BCD" w:rsidRPr="00542FF2">
        <w:rPr>
          <w:rFonts w:cstheme="minorHAnsi"/>
          <w:sz w:val="24"/>
          <w:szCs w:val="24"/>
        </w:rPr>
        <w:t xml:space="preserve">. He suggested </w:t>
      </w:r>
      <w:r w:rsidR="0057468F" w:rsidRPr="00542FF2">
        <w:rPr>
          <w:rFonts w:cstheme="minorHAnsi"/>
          <w:sz w:val="24"/>
          <w:szCs w:val="24"/>
        </w:rPr>
        <w:t xml:space="preserve">we conceive placed-based </w:t>
      </w:r>
      <w:r w:rsidR="00615410" w:rsidRPr="00542FF2">
        <w:rPr>
          <w:rFonts w:cstheme="minorHAnsi"/>
          <w:sz w:val="24"/>
          <w:szCs w:val="24"/>
        </w:rPr>
        <w:t>in terms of</w:t>
      </w:r>
      <w:r w:rsidR="00536243" w:rsidRPr="00542FF2">
        <w:rPr>
          <w:rFonts w:cstheme="minorHAnsi"/>
          <w:sz w:val="24"/>
          <w:szCs w:val="24"/>
        </w:rPr>
        <w:t xml:space="preserve">: </w:t>
      </w:r>
    </w:p>
    <w:p w14:paraId="0AFE2088" w14:textId="77777777" w:rsidR="00465860" w:rsidRPr="00BD4A89" w:rsidRDefault="00465860" w:rsidP="00465860">
      <w:pPr>
        <w:pStyle w:val="NormalWeb"/>
        <w:numPr>
          <w:ilvl w:val="0"/>
          <w:numId w:val="5"/>
        </w:numPr>
        <w:shd w:val="clear" w:color="auto" w:fill="FFFFFF"/>
        <w:spacing w:before="0" w:beforeAutospacing="0" w:after="240" w:afterAutospacing="0"/>
        <w:rPr>
          <w:rFonts w:asciiTheme="minorHAnsi" w:hAnsiTheme="minorHAnsi" w:cstheme="minorHAnsi"/>
        </w:rPr>
      </w:pPr>
      <w:r w:rsidRPr="00542FF2">
        <w:rPr>
          <w:rFonts w:asciiTheme="minorHAnsi" w:hAnsiTheme="minorHAnsi" w:cstheme="minorHAnsi"/>
          <w:b/>
          <w:bCs/>
          <w:i/>
          <w:iCs/>
        </w:rPr>
        <w:t>Place as regeneration</w:t>
      </w:r>
      <w:r w:rsidRPr="00542FF2">
        <w:rPr>
          <w:rFonts w:asciiTheme="minorHAnsi" w:hAnsiTheme="minorHAnsi" w:cstheme="minorHAnsi"/>
        </w:rPr>
        <w:t xml:space="preserve"> - this is a view of social change that is about fixing a problem</w:t>
      </w:r>
      <w:r w:rsidRPr="00BD4A89">
        <w:rPr>
          <w:rFonts w:asciiTheme="minorHAnsi" w:hAnsiTheme="minorHAnsi" w:cstheme="minorHAnsi"/>
        </w:rPr>
        <w:t xml:space="preserve"> that has affected the economy of the whole place: “that place needs regenerating”.</w:t>
      </w:r>
    </w:p>
    <w:p w14:paraId="5232C91D" w14:textId="77777777" w:rsidR="00465860" w:rsidRPr="00BD4A89" w:rsidRDefault="00465860" w:rsidP="00465860">
      <w:pPr>
        <w:pStyle w:val="NormalWeb"/>
        <w:numPr>
          <w:ilvl w:val="0"/>
          <w:numId w:val="5"/>
        </w:numPr>
        <w:shd w:val="clear" w:color="auto" w:fill="FFFFFF"/>
        <w:spacing w:before="0" w:beforeAutospacing="0" w:after="240" w:afterAutospacing="0"/>
        <w:rPr>
          <w:rFonts w:asciiTheme="minorHAnsi" w:hAnsiTheme="minorHAnsi" w:cstheme="minorHAnsi"/>
        </w:rPr>
      </w:pPr>
      <w:r w:rsidRPr="00B16961">
        <w:rPr>
          <w:rFonts w:asciiTheme="minorHAnsi" w:hAnsiTheme="minorHAnsi" w:cstheme="minorHAnsi"/>
          <w:b/>
          <w:bCs/>
          <w:i/>
          <w:iCs/>
        </w:rPr>
        <w:t>Place as targeting</w:t>
      </w:r>
      <w:r w:rsidRPr="00BD4A89">
        <w:rPr>
          <w:rFonts w:asciiTheme="minorHAnsi" w:hAnsiTheme="minorHAnsi" w:cstheme="minorHAnsi"/>
        </w:rPr>
        <w:t xml:space="preserve"> - seeing social change as coming from evidence-based interventions that target resources on places that best fit their approach but is typically targeted on a specific social issue or challenge.</w:t>
      </w:r>
    </w:p>
    <w:p w14:paraId="015A30DC" w14:textId="77777777" w:rsidR="00465860" w:rsidRPr="00BD4A89" w:rsidRDefault="00465860" w:rsidP="00465860">
      <w:pPr>
        <w:pStyle w:val="NormalWeb"/>
        <w:numPr>
          <w:ilvl w:val="0"/>
          <w:numId w:val="5"/>
        </w:numPr>
        <w:shd w:val="clear" w:color="auto" w:fill="FFFFFF"/>
        <w:spacing w:before="0" w:beforeAutospacing="0" w:after="240" w:afterAutospacing="0"/>
        <w:rPr>
          <w:rFonts w:asciiTheme="minorHAnsi" w:hAnsiTheme="minorHAnsi" w:cstheme="minorHAnsi"/>
        </w:rPr>
      </w:pPr>
      <w:r w:rsidRPr="00B16961">
        <w:rPr>
          <w:rFonts w:asciiTheme="minorHAnsi" w:hAnsiTheme="minorHAnsi" w:cstheme="minorHAnsi"/>
          <w:b/>
          <w:bCs/>
          <w:i/>
          <w:iCs/>
        </w:rPr>
        <w:t>Place as devolution</w:t>
      </w:r>
      <w:r w:rsidRPr="00BD4A89">
        <w:rPr>
          <w:rFonts w:asciiTheme="minorHAnsi" w:hAnsiTheme="minorHAnsi" w:cstheme="minorHAnsi"/>
        </w:rPr>
        <w:t xml:space="preserve"> - a view of change that would result from localising decision making, and potentially tax raising powers, to more local forms of government.</w:t>
      </w:r>
    </w:p>
    <w:p w14:paraId="7C111ACB" w14:textId="77777777" w:rsidR="00465860" w:rsidRPr="00BD4A89" w:rsidRDefault="00465860" w:rsidP="00465860">
      <w:pPr>
        <w:pStyle w:val="NormalWeb"/>
        <w:numPr>
          <w:ilvl w:val="0"/>
          <w:numId w:val="5"/>
        </w:numPr>
        <w:shd w:val="clear" w:color="auto" w:fill="FFFFFF"/>
        <w:spacing w:before="0" w:beforeAutospacing="0" w:after="240" w:afterAutospacing="0"/>
        <w:rPr>
          <w:rFonts w:asciiTheme="minorHAnsi" w:hAnsiTheme="minorHAnsi" w:cstheme="minorHAnsi"/>
        </w:rPr>
      </w:pPr>
      <w:r w:rsidRPr="00B16961">
        <w:rPr>
          <w:rFonts w:asciiTheme="minorHAnsi" w:hAnsiTheme="minorHAnsi" w:cstheme="minorHAnsi"/>
          <w:b/>
          <w:bCs/>
          <w:i/>
          <w:iCs/>
        </w:rPr>
        <w:t>Place as the community</w:t>
      </w:r>
      <w:r w:rsidRPr="00BD4A89">
        <w:rPr>
          <w:rFonts w:asciiTheme="minorHAnsi" w:hAnsiTheme="minorHAnsi" w:cstheme="minorHAnsi"/>
        </w:rPr>
        <w:t xml:space="preserve"> - a view of change that sees local residents as the real sources of knowledge, strength and ownership of a place, and any work must be led by them: “that place needs to be led by its community”.</w:t>
      </w:r>
    </w:p>
    <w:p w14:paraId="373DEAC3" w14:textId="77777777" w:rsidR="00465860" w:rsidRPr="00BD4A89" w:rsidRDefault="00465860" w:rsidP="00465860">
      <w:pPr>
        <w:pStyle w:val="NormalWeb"/>
        <w:numPr>
          <w:ilvl w:val="0"/>
          <w:numId w:val="5"/>
        </w:numPr>
        <w:shd w:val="clear" w:color="auto" w:fill="FFFFFF"/>
        <w:spacing w:before="0" w:beforeAutospacing="0" w:after="240" w:afterAutospacing="0"/>
        <w:rPr>
          <w:rFonts w:asciiTheme="minorHAnsi" w:hAnsiTheme="minorHAnsi" w:cstheme="minorHAnsi"/>
        </w:rPr>
      </w:pPr>
      <w:r w:rsidRPr="00B16961">
        <w:rPr>
          <w:rFonts w:asciiTheme="minorHAnsi" w:hAnsiTheme="minorHAnsi" w:cstheme="minorHAnsi"/>
          <w:b/>
          <w:bCs/>
          <w:i/>
          <w:iCs/>
        </w:rPr>
        <w:t>Place as a system</w:t>
      </w:r>
      <w:r w:rsidRPr="00BD4A89">
        <w:rPr>
          <w:rFonts w:asciiTheme="minorHAnsi" w:hAnsiTheme="minorHAnsi" w:cstheme="minorHAnsi"/>
        </w:rPr>
        <w:t xml:space="preserve"> - a view of how social change emerges from systems of relationships between institutions such as public services, charities, and the community in a place.</w:t>
      </w:r>
    </w:p>
    <w:p w14:paraId="5D641A5F" w14:textId="40B56776" w:rsidR="00465860" w:rsidRPr="00F632CD" w:rsidRDefault="00465860" w:rsidP="00465860">
      <w:pPr>
        <w:pStyle w:val="ListParagraph"/>
        <w:ind w:left="0"/>
        <w:rPr>
          <w:rFonts w:cstheme="minorHAnsi"/>
          <w:sz w:val="24"/>
          <w:szCs w:val="24"/>
        </w:rPr>
      </w:pPr>
      <w:r w:rsidRPr="00F632CD">
        <w:rPr>
          <w:rFonts w:cstheme="minorHAnsi"/>
          <w:sz w:val="24"/>
          <w:szCs w:val="24"/>
        </w:rPr>
        <w:t xml:space="preserve">The </w:t>
      </w:r>
      <w:r w:rsidR="00455166">
        <w:rPr>
          <w:rFonts w:cstheme="minorHAnsi"/>
          <w:sz w:val="24"/>
          <w:szCs w:val="24"/>
        </w:rPr>
        <w:t xml:space="preserve">Pathway to Employment </w:t>
      </w:r>
      <w:r w:rsidR="000976F4">
        <w:rPr>
          <w:rFonts w:cstheme="minorHAnsi"/>
          <w:sz w:val="24"/>
          <w:szCs w:val="24"/>
        </w:rPr>
        <w:t>P</w:t>
      </w:r>
      <w:r w:rsidRPr="00F632CD">
        <w:rPr>
          <w:rFonts w:cstheme="minorHAnsi"/>
          <w:sz w:val="24"/>
          <w:szCs w:val="24"/>
        </w:rPr>
        <w:t xml:space="preserve">rogramme </w:t>
      </w:r>
      <w:r w:rsidR="000976F4">
        <w:rPr>
          <w:rFonts w:cstheme="minorHAnsi"/>
          <w:sz w:val="24"/>
          <w:szCs w:val="24"/>
        </w:rPr>
        <w:t xml:space="preserve">(P2E) </w:t>
      </w:r>
      <w:r w:rsidRPr="00F632CD">
        <w:rPr>
          <w:rFonts w:cstheme="minorHAnsi"/>
          <w:sz w:val="24"/>
          <w:szCs w:val="24"/>
        </w:rPr>
        <w:t xml:space="preserve">is </w:t>
      </w:r>
      <w:r w:rsidR="005A7934">
        <w:rPr>
          <w:rFonts w:cstheme="minorHAnsi"/>
          <w:sz w:val="24"/>
          <w:szCs w:val="24"/>
        </w:rPr>
        <w:t xml:space="preserve">perhaps best described as </w:t>
      </w:r>
      <w:r w:rsidRPr="00F632CD">
        <w:rPr>
          <w:rFonts w:cstheme="minorHAnsi"/>
          <w:sz w:val="24"/>
          <w:szCs w:val="24"/>
        </w:rPr>
        <w:t xml:space="preserve">model 2: </w:t>
      </w:r>
      <w:r w:rsidRPr="00F632CD">
        <w:rPr>
          <w:rFonts w:cstheme="minorHAnsi"/>
          <w:b/>
          <w:bCs/>
          <w:i/>
          <w:iCs/>
          <w:sz w:val="24"/>
          <w:szCs w:val="24"/>
        </w:rPr>
        <w:t xml:space="preserve">Place as targeting, </w:t>
      </w:r>
      <w:r w:rsidRPr="00F632CD">
        <w:rPr>
          <w:rFonts w:cstheme="minorHAnsi"/>
          <w:sz w:val="24"/>
          <w:szCs w:val="24"/>
        </w:rPr>
        <w:t>with a focus on the disadvantage encountered by those from B</w:t>
      </w:r>
      <w:r w:rsidR="006459A9">
        <w:rPr>
          <w:rFonts w:cstheme="minorHAnsi"/>
          <w:sz w:val="24"/>
          <w:szCs w:val="24"/>
        </w:rPr>
        <w:t xml:space="preserve">lack and minoritised ethnic (BME) </w:t>
      </w:r>
      <w:r w:rsidRPr="00F632CD">
        <w:rPr>
          <w:rFonts w:cstheme="minorHAnsi"/>
          <w:sz w:val="24"/>
          <w:szCs w:val="24"/>
        </w:rPr>
        <w:t xml:space="preserve">background experiencing economic and financial hardship living in particular boroughs of London. </w:t>
      </w:r>
    </w:p>
    <w:p w14:paraId="672E9EF8" w14:textId="26387B73" w:rsidR="00E34542" w:rsidRDefault="00D307AA" w:rsidP="003C72B4">
      <w:pPr>
        <w:rPr>
          <w:sz w:val="24"/>
          <w:szCs w:val="24"/>
        </w:rPr>
      </w:pPr>
      <w:r w:rsidRPr="00E0675F">
        <w:rPr>
          <w:sz w:val="24"/>
          <w:szCs w:val="24"/>
        </w:rPr>
        <w:t xml:space="preserve">In considering where to target </w:t>
      </w:r>
      <w:r w:rsidR="00D47E50">
        <w:rPr>
          <w:sz w:val="24"/>
          <w:szCs w:val="24"/>
        </w:rPr>
        <w:t xml:space="preserve">support in the form of investments, </w:t>
      </w:r>
      <w:r w:rsidR="00335B9A">
        <w:rPr>
          <w:sz w:val="24"/>
          <w:szCs w:val="24"/>
        </w:rPr>
        <w:t>it is perhaps worth decision-</w:t>
      </w:r>
      <w:r w:rsidR="00A91738">
        <w:rPr>
          <w:sz w:val="24"/>
          <w:szCs w:val="24"/>
        </w:rPr>
        <w:t>makers consider</w:t>
      </w:r>
      <w:r w:rsidR="00335B9A">
        <w:rPr>
          <w:sz w:val="24"/>
          <w:szCs w:val="24"/>
        </w:rPr>
        <w:t>ing the st</w:t>
      </w:r>
      <w:r w:rsidR="00465860" w:rsidRPr="009F6C7F">
        <w:rPr>
          <w:sz w:val="24"/>
          <w:szCs w:val="24"/>
        </w:rPr>
        <w:t xml:space="preserve">rategic </w:t>
      </w:r>
      <w:r w:rsidR="00335B9A">
        <w:rPr>
          <w:sz w:val="24"/>
          <w:szCs w:val="24"/>
        </w:rPr>
        <w:t xml:space="preserve">imperatives </w:t>
      </w:r>
      <w:r w:rsidR="00465860" w:rsidRPr="009F6C7F">
        <w:rPr>
          <w:sz w:val="24"/>
          <w:szCs w:val="24"/>
        </w:rPr>
        <w:t>when assessing whether to implement place based approaches</w:t>
      </w:r>
      <w:r w:rsidR="003C72B4">
        <w:rPr>
          <w:sz w:val="24"/>
          <w:szCs w:val="24"/>
        </w:rPr>
        <w:t xml:space="preserve"> as well as some of the p</w:t>
      </w:r>
      <w:r w:rsidR="00465860" w:rsidRPr="009F6C7F">
        <w:rPr>
          <w:sz w:val="24"/>
          <w:szCs w:val="24"/>
        </w:rPr>
        <w:t xml:space="preserve">ractical issues </w:t>
      </w:r>
      <w:r w:rsidR="003C72B4">
        <w:rPr>
          <w:sz w:val="24"/>
          <w:szCs w:val="24"/>
        </w:rPr>
        <w:t xml:space="preserve">that would need to be in place </w:t>
      </w:r>
      <w:r w:rsidR="00E34542">
        <w:rPr>
          <w:sz w:val="24"/>
          <w:szCs w:val="24"/>
        </w:rPr>
        <w:t xml:space="preserve">to </w:t>
      </w:r>
      <w:r w:rsidR="00465860" w:rsidRPr="009F6C7F">
        <w:rPr>
          <w:sz w:val="24"/>
          <w:szCs w:val="24"/>
        </w:rPr>
        <w:t>inform</w:t>
      </w:r>
      <w:r w:rsidR="00E34542">
        <w:rPr>
          <w:sz w:val="24"/>
          <w:szCs w:val="24"/>
        </w:rPr>
        <w:t xml:space="preserve"> </w:t>
      </w:r>
      <w:r w:rsidR="00465860" w:rsidRPr="009F6C7F">
        <w:rPr>
          <w:sz w:val="24"/>
          <w:szCs w:val="24"/>
        </w:rPr>
        <w:t xml:space="preserve">the design and implementation of </w:t>
      </w:r>
      <w:r w:rsidR="00E34542">
        <w:rPr>
          <w:sz w:val="24"/>
          <w:szCs w:val="24"/>
        </w:rPr>
        <w:t xml:space="preserve">such an approach. </w:t>
      </w:r>
      <w:r w:rsidR="00315D28">
        <w:rPr>
          <w:sz w:val="24"/>
          <w:szCs w:val="24"/>
        </w:rPr>
        <w:t>For example, consideration to be given to questions such as</w:t>
      </w:r>
      <w:r w:rsidR="004D723B">
        <w:rPr>
          <w:sz w:val="24"/>
          <w:szCs w:val="24"/>
        </w:rPr>
        <w:t xml:space="preserve"> why this approach over others? </w:t>
      </w:r>
      <w:r w:rsidR="001B3DB9">
        <w:rPr>
          <w:sz w:val="24"/>
          <w:szCs w:val="24"/>
        </w:rPr>
        <w:t>W</w:t>
      </w:r>
      <w:r w:rsidR="004D723B">
        <w:rPr>
          <w:sz w:val="24"/>
          <w:szCs w:val="24"/>
        </w:rPr>
        <w:t>hat is being offered</w:t>
      </w:r>
      <w:r w:rsidR="003C3D97">
        <w:rPr>
          <w:sz w:val="24"/>
          <w:szCs w:val="24"/>
        </w:rPr>
        <w:t xml:space="preserve"> and how will the offer be made? Where does the offer fit </w:t>
      </w:r>
      <w:r w:rsidR="00A63CC3">
        <w:rPr>
          <w:sz w:val="24"/>
          <w:szCs w:val="24"/>
        </w:rPr>
        <w:t>as part of a wider strategic approach or is it a knee jerk reaction to an outrage</w:t>
      </w:r>
      <w:r w:rsidR="00AA43F5">
        <w:rPr>
          <w:sz w:val="24"/>
          <w:szCs w:val="24"/>
        </w:rPr>
        <w:t>? How is ‘place’ being defined and what scale of ‘measure’ is being used to determine concern and fit?</w:t>
      </w:r>
      <w:r w:rsidR="00A63CC3">
        <w:rPr>
          <w:sz w:val="24"/>
          <w:szCs w:val="24"/>
        </w:rPr>
        <w:t xml:space="preserve"> </w:t>
      </w:r>
      <w:r w:rsidR="00AA43F5">
        <w:rPr>
          <w:sz w:val="24"/>
          <w:szCs w:val="24"/>
        </w:rPr>
        <w:t xml:space="preserve">On the practical front, </w:t>
      </w:r>
      <w:r w:rsidR="00BF0780">
        <w:rPr>
          <w:sz w:val="24"/>
          <w:szCs w:val="24"/>
        </w:rPr>
        <w:t xml:space="preserve">questions such as, for example, who are the partners of delivery, </w:t>
      </w:r>
      <w:r w:rsidR="00283116">
        <w:rPr>
          <w:sz w:val="24"/>
          <w:szCs w:val="24"/>
        </w:rPr>
        <w:t>the time-scale over which the support will be provided in order to demonstrate impact</w:t>
      </w:r>
      <w:r w:rsidR="001767AE">
        <w:rPr>
          <w:sz w:val="24"/>
          <w:szCs w:val="24"/>
        </w:rPr>
        <w:t xml:space="preserve">? Further, what </w:t>
      </w:r>
      <w:r w:rsidR="00F17C7C">
        <w:rPr>
          <w:sz w:val="24"/>
          <w:szCs w:val="24"/>
        </w:rPr>
        <w:t xml:space="preserve">will be </w:t>
      </w:r>
      <w:r w:rsidR="0045265D">
        <w:rPr>
          <w:sz w:val="24"/>
          <w:szCs w:val="24"/>
        </w:rPr>
        <w:t xml:space="preserve">the </w:t>
      </w:r>
      <w:r w:rsidR="00F17C7C">
        <w:rPr>
          <w:sz w:val="24"/>
          <w:szCs w:val="24"/>
        </w:rPr>
        <w:t xml:space="preserve">indicators of impact and </w:t>
      </w:r>
      <w:r w:rsidR="00F80133">
        <w:rPr>
          <w:sz w:val="24"/>
          <w:szCs w:val="24"/>
        </w:rPr>
        <w:t xml:space="preserve">what’s the sustainability ‘legacy’? </w:t>
      </w:r>
      <w:r w:rsidR="001767AE">
        <w:rPr>
          <w:sz w:val="24"/>
          <w:szCs w:val="24"/>
        </w:rPr>
        <w:t xml:space="preserve"> </w:t>
      </w:r>
    </w:p>
    <w:p w14:paraId="710E4683" w14:textId="4643B40D" w:rsidR="00F53C08" w:rsidRDefault="001B3DB9" w:rsidP="00465860">
      <w:pPr>
        <w:rPr>
          <w:sz w:val="24"/>
          <w:szCs w:val="24"/>
        </w:rPr>
      </w:pPr>
      <w:r>
        <w:rPr>
          <w:sz w:val="24"/>
          <w:szCs w:val="24"/>
        </w:rPr>
        <w:t>In trying to respond to some of the key questio</w:t>
      </w:r>
      <w:r w:rsidR="00F53C08">
        <w:rPr>
          <w:sz w:val="24"/>
          <w:szCs w:val="24"/>
        </w:rPr>
        <w:t>n</w:t>
      </w:r>
      <w:r>
        <w:rPr>
          <w:sz w:val="24"/>
          <w:szCs w:val="24"/>
        </w:rPr>
        <w:t>s posed</w:t>
      </w:r>
      <w:r w:rsidR="00F53C08">
        <w:rPr>
          <w:sz w:val="24"/>
          <w:szCs w:val="24"/>
        </w:rPr>
        <w:t>, at the strategic level, consideration was given, first</w:t>
      </w:r>
      <w:r w:rsidR="00447A7D">
        <w:rPr>
          <w:sz w:val="24"/>
          <w:szCs w:val="24"/>
        </w:rPr>
        <w:t>,</w:t>
      </w:r>
      <w:r w:rsidR="00F53C08">
        <w:rPr>
          <w:sz w:val="24"/>
          <w:szCs w:val="24"/>
        </w:rPr>
        <w:t xml:space="preserve"> to </w:t>
      </w:r>
      <w:r w:rsidR="00447A7D">
        <w:rPr>
          <w:sz w:val="24"/>
          <w:szCs w:val="24"/>
        </w:rPr>
        <w:t>the concerns and issues facing B</w:t>
      </w:r>
      <w:r w:rsidR="00771374">
        <w:rPr>
          <w:sz w:val="24"/>
          <w:szCs w:val="24"/>
        </w:rPr>
        <w:t xml:space="preserve">ME </w:t>
      </w:r>
      <w:r w:rsidR="00A46E60">
        <w:rPr>
          <w:sz w:val="24"/>
          <w:szCs w:val="24"/>
        </w:rPr>
        <w:t xml:space="preserve">communities within the labour market and secondly, </w:t>
      </w:r>
      <w:r w:rsidR="00371436">
        <w:rPr>
          <w:sz w:val="24"/>
          <w:szCs w:val="24"/>
        </w:rPr>
        <w:t>to proxy measures of deprivation and scale of concerns</w:t>
      </w:r>
      <w:r w:rsidR="000257B6">
        <w:rPr>
          <w:sz w:val="24"/>
          <w:szCs w:val="24"/>
        </w:rPr>
        <w:t xml:space="preserve">. </w:t>
      </w:r>
      <w:r w:rsidR="00371436">
        <w:rPr>
          <w:sz w:val="24"/>
          <w:szCs w:val="24"/>
        </w:rPr>
        <w:t xml:space="preserve"> </w:t>
      </w:r>
    </w:p>
    <w:p w14:paraId="7CA1DD31" w14:textId="77777777" w:rsidR="000976F4" w:rsidRDefault="000976F4" w:rsidP="000257B6">
      <w:pPr>
        <w:rPr>
          <w:b/>
          <w:bCs/>
          <w:sz w:val="24"/>
          <w:szCs w:val="24"/>
        </w:rPr>
      </w:pPr>
    </w:p>
    <w:p w14:paraId="74FB0C08" w14:textId="44D045D4" w:rsidR="000257B6" w:rsidRPr="00F72805" w:rsidRDefault="000257B6" w:rsidP="000257B6">
      <w:pPr>
        <w:rPr>
          <w:b/>
          <w:bCs/>
          <w:sz w:val="24"/>
          <w:szCs w:val="24"/>
        </w:rPr>
      </w:pPr>
      <w:r w:rsidRPr="00F72805">
        <w:rPr>
          <w:b/>
          <w:bCs/>
          <w:sz w:val="24"/>
          <w:szCs w:val="24"/>
        </w:rPr>
        <w:lastRenderedPageBreak/>
        <w:t>The concerns and issues facing Black and minority ethnic communities within the labour market</w:t>
      </w:r>
    </w:p>
    <w:p w14:paraId="4FCC888A" w14:textId="077FC7CE" w:rsidR="00AA2854" w:rsidRDefault="000257B6" w:rsidP="000257B6">
      <w:pPr>
        <w:pStyle w:val="p1"/>
        <w:shd w:val="clear" w:color="auto" w:fill="FFFFFF"/>
        <w:spacing w:before="0" w:beforeAutospacing="0" w:after="300" w:afterAutospacing="0"/>
        <w:rPr>
          <w:rFonts w:asciiTheme="minorHAnsi" w:hAnsiTheme="minorHAnsi" w:cstheme="minorHAnsi"/>
        </w:rPr>
      </w:pPr>
      <w:r w:rsidRPr="00B41FF8">
        <w:rPr>
          <w:rFonts w:asciiTheme="minorHAnsi" w:hAnsiTheme="minorHAnsi" w:cstheme="minorHAnsi"/>
        </w:rPr>
        <w:t>For decades commentators have rais</w:t>
      </w:r>
      <w:r>
        <w:rPr>
          <w:rFonts w:asciiTheme="minorHAnsi" w:hAnsiTheme="minorHAnsi" w:cstheme="minorHAnsi"/>
        </w:rPr>
        <w:t>ed</w:t>
      </w:r>
      <w:r w:rsidRPr="00B41FF8">
        <w:rPr>
          <w:rFonts w:asciiTheme="minorHAnsi" w:hAnsiTheme="minorHAnsi" w:cstheme="minorHAnsi"/>
        </w:rPr>
        <w:t xml:space="preserve"> concerns about the disproportionate presence of B</w:t>
      </w:r>
      <w:r w:rsidR="00771374">
        <w:rPr>
          <w:rFonts w:asciiTheme="minorHAnsi" w:hAnsiTheme="minorHAnsi" w:cstheme="minorHAnsi"/>
        </w:rPr>
        <w:t>ME</w:t>
      </w:r>
      <w:r w:rsidRPr="00B41FF8">
        <w:rPr>
          <w:rFonts w:asciiTheme="minorHAnsi" w:hAnsiTheme="minorHAnsi" w:cstheme="minorHAnsi"/>
        </w:rPr>
        <w:t xml:space="preserve"> groups within the labour market, a presence which see</w:t>
      </w:r>
      <w:r w:rsidR="001857D8">
        <w:rPr>
          <w:rFonts w:asciiTheme="minorHAnsi" w:hAnsiTheme="minorHAnsi" w:cstheme="minorHAnsi"/>
        </w:rPr>
        <w:t>s</w:t>
      </w:r>
      <w:r w:rsidRPr="00B41FF8">
        <w:rPr>
          <w:rFonts w:asciiTheme="minorHAnsi" w:hAnsiTheme="minorHAnsi" w:cstheme="minorHAnsi"/>
        </w:rPr>
        <w:t xml:space="preserve"> them </w:t>
      </w:r>
      <w:r w:rsidR="001857D8">
        <w:rPr>
          <w:rFonts w:asciiTheme="minorHAnsi" w:hAnsiTheme="minorHAnsi" w:cstheme="minorHAnsi"/>
        </w:rPr>
        <w:t>at the</w:t>
      </w:r>
      <w:r w:rsidRPr="00B41FF8">
        <w:rPr>
          <w:rFonts w:asciiTheme="minorHAnsi" w:hAnsiTheme="minorHAnsi" w:cstheme="minorHAnsi"/>
        </w:rPr>
        <w:t xml:space="preserve"> bottom of the unemployment tables</w:t>
      </w:r>
      <w:r w:rsidR="00371728">
        <w:rPr>
          <w:rFonts w:asciiTheme="minorHAnsi" w:hAnsiTheme="minorHAnsi" w:cstheme="minorHAnsi"/>
        </w:rPr>
        <w:t xml:space="preserve"> (</w:t>
      </w:r>
      <w:r w:rsidRPr="00B41FF8">
        <w:rPr>
          <w:rFonts w:asciiTheme="minorHAnsi" w:hAnsiTheme="minorHAnsi" w:cstheme="minorHAnsi"/>
        </w:rPr>
        <w:t>Sanglin-Grant, 200</w:t>
      </w:r>
      <w:r w:rsidR="00237576">
        <w:rPr>
          <w:rFonts w:asciiTheme="minorHAnsi" w:hAnsiTheme="minorHAnsi" w:cstheme="minorHAnsi"/>
        </w:rPr>
        <w:t>5</w:t>
      </w:r>
      <w:r w:rsidR="00787D0A">
        <w:rPr>
          <w:rStyle w:val="FootnoteReference"/>
          <w:rFonts w:asciiTheme="minorHAnsi" w:hAnsiTheme="minorHAnsi" w:cstheme="minorHAnsi"/>
        </w:rPr>
        <w:footnoteReference w:id="7"/>
      </w:r>
      <w:r w:rsidRPr="00B41FF8">
        <w:rPr>
          <w:rFonts w:asciiTheme="minorHAnsi" w:hAnsiTheme="minorHAnsi" w:cstheme="minorHAnsi"/>
        </w:rPr>
        <w:t>; Murray, 2013</w:t>
      </w:r>
      <w:r w:rsidR="00A51C58">
        <w:rPr>
          <w:rStyle w:val="FootnoteReference"/>
          <w:rFonts w:asciiTheme="minorHAnsi" w:hAnsiTheme="minorHAnsi" w:cstheme="minorHAnsi"/>
        </w:rPr>
        <w:footnoteReference w:id="8"/>
      </w:r>
      <w:r w:rsidR="00584487">
        <w:rPr>
          <w:rFonts w:asciiTheme="minorHAnsi" w:hAnsiTheme="minorHAnsi" w:cstheme="minorHAnsi"/>
        </w:rPr>
        <w:t xml:space="preserve">; </w:t>
      </w:r>
      <w:r w:rsidR="00D40279">
        <w:rPr>
          <w:rFonts w:asciiTheme="minorHAnsi" w:hAnsiTheme="minorHAnsi" w:cstheme="minorHAnsi"/>
        </w:rPr>
        <w:t>Khan, 2018</w:t>
      </w:r>
      <w:r w:rsidR="00D40279">
        <w:rPr>
          <w:rStyle w:val="FootnoteReference"/>
          <w:rFonts w:asciiTheme="minorHAnsi" w:hAnsiTheme="minorHAnsi" w:cstheme="minorHAnsi"/>
        </w:rPr>
        <w:footnoteReference w:id="9"/>
      </w:r>
      <w:r w:rsidR="00D40279">
        <w:rPr>
          <w:rFonts w:asciiTheme="minorHAnsi" w:hAnsiTheme="minorHAnsi" w:cstheme="minorHAnsi"/>
        </w:rPr>
        <w:t xml:space="preserve">; </w:t>
      </w:r>
      <w:r w:rsidR="00584487" w:rsidRPr="00B41FF8">
        <w:rPr>
          <w:rFonts w:asciiTheme="minorHAnsi" w:hAnsiTheme="minorHAnsi" w:cstheme="minorHAnsi"/>
        </w:rPr>
        <w:t>APPG, 202</w:t>
      </w:r>
      <w:r w:rsidR="00584487">
        <w:rPr>
          <w:rFonts w:asciiTheme="minorHAnsi" w:hAnsiTheme="minorHAnsi" w:cstheme="minorHAnsi"/>
        </w:rPr>
        <w:t>1</w:t>
      </w:r>
      <w:r w:rsidR="00584487">
        <w:rPr>
          <w:rStyle w:val="FootnoteReference"/>
          <w:rFonts w:asciiTheme="minorHAnsi" w:hAnsiTheme="minorHAnsi" w:cstheme="minorHAnsi"/>
        </w:rPr>
        <w:footnoteReference w:id="10"/>
      </w:r>
      <w:r w:rsidR="00584487">
        <w:rPr>
          <w:rFonts w:asciiTheme="minorHAnsi" w:hAnsiTheme="minorHAnsi" w:cstheme="minorHAnsi"/>
        </w:rPr>
        <w:t xml:space="preserve">). </w:t>
      </w:r>
      <w:r>
        <w:rPr>
          <w:rFonts w:asciiTheme="minorHAnsi" w:hAnsiTheme="minorHAnsi" w:cstheme="minorHAnsi"/>
        </w:rPr>
        <w:t>T</w:t>
      </w:r>
      <w:r w:rsidRPr="00B41FF8">
        <w:rPr>
          <w:rFonts w:asciiTheme="minorHAnsi" w:hAnsiTheme="minorHAnsi" w:cstheme="minorHAnsi"/>
        </w:rPr>
        <w:t xml:space="preserve">he recent upheaval caused by the pandemic, </w:t>
      </w:r>
      <w:r w:rsidR="00371728">
        <w:rPr>
          <w:rFonts w:asciiTheme="minorHAnsi" w:hAnsiTheme="minorHAnsi" w:cstheme="minorHAnsi"/>
        </w:rPr>
        <w:t xml:space="preserve">while </w:t>
      </w:r>
      <w:r w:rsidR="00BD6D41">
        <w:rPr>
          <w:rFonts w:asciiTheme="minorHAnsi" w:hAnsiTheme="minorHAnsi" w:cstheme="minorHAnsi"/>
        </w:rPr>
        <w:t xml:space="preserve">reflecting </w:t>
      </w:r>
      <w:r w:rsidRPr="00B41FF8">
        <w:rPr>
          <w:rFonts w:asciiTheme="minorHAnsi" w:hAnsiTheme="minorHAnsi" w:cstheme="minorHAnsi"/>
        </w:rPr>
        <w:t xml:space="preserve">some increase in unemployment generally, </w:t>
      </w:r>
      <w:r w:rsidR="00BD6D41">
        <w:rPr>
          <w:rFonts w:asciiTheme="minorHAnsi" w:hAnsiTheme="minorHAnsi" w:cstheme="minorHAnsi"/>
        </w:rPr>
        <w:t xml:space="preserve">nevertheless masked </w:t>
      </w:r>
      <w:r w:rsidRPr="00B41FF8">
        <w:rPr>
          <w:rFonts w:asciiTheme="minorHAnsi" w:hAnsiTheme="minorHAnsi" w:cstheme="minorHAnsi"/>
        </w:rPr>
        <w:t xml:space="preserve">sharp </w:t>
      </w:r>
      <w:r w:rsidR="00BD6D41">
        <w:rPr>
          <w:rFonts w:asciiTheme="minorHAnsi" w:hAnsiTheme="minorHAnsi" w:cstheme="minorHAnsi"/>
        </w:rPr>
        <w:t xml:space="preserve">rises with </w:t>
      </w:r>
      <w:r w:rsidRPr="00B41FF8">
        <w:rPr>
          <w:rFonts w:asciiTheme="minorHAnsi" w:hAnsiTheme="minorHAnsi" w:cstheme="minorHAnsi"/>
        </w:rPr>
        <w:t xml:space="preserve">some groups, where the effect </w:t>
      </w:r>
      <w:r w:rsidR="00BD6D41">
        <w:rPr>
          <w:rFonts w:asciiTheme="minorHAnsi" w:hAnsiTheme="minorHAnsi" w:cstheme="minorHAnsi"/>
        </w:rPr>
        <w:t xml:space="preserve">and impact of national policies </w:t>
      </w:r>
      <w:r>
        <w:rPr>
          <w:rFonts w:asciiTheme="minorHAnsi" w:hAnsiTheme="minorHAnsi" w:cstheme="minorHAnsi"/>
        </w:rPr>
        <w:t xml:space="preserve">has been </w:t>
      </w:r>
      <w:r w:rsidRPr="00B41FF8">
        <w:rPr>
          <w:rFonts w:asciiTheme="minorHAnsi" w:hAnsiTheme="minorHAnsi" w:cstheme="minorHAnsi"/>
        </w:rPr>
        <w:t>more pronounced and significant</w:t>
      </w:r>
      <w:r w:rsidR="00A1231C">
        <w:rPr>
          <w:rFonts w:asciiTheme="minorHAnsi" w:hAnsiTheme="minorHAnsi" w:cstheme="minorHAnsi"/>
        </w:rPr>
        <w:t xml:space="preserve"> (i.e. </w:t>
      </w:r>
      <w:r w:rsidR="00FA1CF2">
        <w:rPr>
          <w:rFonts w:asciiTheme="minorHAnsi" w:hAnsiTheme="minorHAnsi" w:cstheme="minorHAnsi"/>
        </w:rPr>
        <w:t>the furlough</w:t>
      </w:r>
      <w:r w:rsidR="00A1231C">
        <w:rPr>
          <w:rFonts w:asciiTheme="minorHAnsi" w:hAnsiTheme="minorHAnsi" w:cstheme="minorHAnsi"/>
        </w:rPr>
        <w:t xml:space="preserve"> scheme and lockdown measures, in particular</w:t>
      </w:r>
      <w:r w:rsidR="00FA1CF2">
        <w:rPr>
          <w:rFonts w:asciiTheme="minorHAnsi" w:hAnsiTheme="minorHAnsi" w:cstheme="minorHAnsi"/>
        </w:rPr>
        <w:t>)</w:t>
      </w:r>
      <w:r w:rsidRPr="00B41FF8">
        <w:rPr>
          <w:rFonts w:asciiTheme="minorHAnsi" w:hAnsiTheme="minorHAnsi" w:cstheme="minorHAnsi"/>
        </w:rPr>
        <w:t xml:space="preserve">. </w:t>
      </w:r>
    </w:p>
    <w:p w14:paraId="5E098A50" w14:textId="058DAC6C" w:rsidR="000257B6" w:rsidRDefault="000257B6" w:rsidP="000257B6">
      <w:pPr>
        <w:pStyle w:val="p1"/>
        <w:shd w:val="clear" w:color="auto" w:fill="FFFFFF"/>
        <w:spacing w:before="0" w:beforeAutospacing="0" w:after="300" w:afterAutospacing="0"/>
        <w:rPr>
          <w:rFonts w:asciiTheme="minorHAnsi" w:hAnsiTheme="minorHAnsi" w:cstheme="minorHAnsi"/>
        </w:rPr>
      </w:pPr>
      <w:r w:rsidRPr="00B41FF8">
        <w:rPr>
          <w:rFonts w:asciiTheme="minorHAnsi" w:hAnsiTheme="minorHAnsi" w:cstheme="minorHAnsi"/>
        </w:rPr>
        <w:t>The recent Public Accounts Committee (July 2021), for example, makes the point that the impact on young black people has been particularly acute, with unemployment rising to a shocking 41.6% in the last quarter of 2020 compared to an already high 24.5% a year earlier</w:t>
      </w:r>
      <w:r w:rsidR="006A6486">
        <w:rPr>
          <w:rFonts w:asciiTheme="minorHAnsi" w:hAnsiTheme="minorHAnsi" w:cstheme="minorHAnsi"/>
        </w:rPr>
        <w:t>.</w:t>
      </w:r>
      <w:r w:rsidRPr="00B41FF8">
        <w:rPr>
          <w:rFonts w:asciiTheme="minorHAnsi" w:hAnsiTheme="minorHAnsi" w:cstheme="minorHAnsi"/>
        </w:rPr>
        <w:t xml:space="preserve"> Following this publication, </w:t>
      </w:r>
      <w:r w:rsidR="00771374">
        <w:rPr>
          <w:rFonts w:asciiTheme="minorHAnsi" w:hAnsiTheme="minorHAnsi" w:cstheme="minorHAnsi"/>
        </w:rPr>
        <w:t>Action for Race Equality</w:t>
      </w:r>
      <w:r w:rsidR="00545EAB">
        <w:rPr>
          <w:rFonts w:asciiTheme="minorHAnsi" w:hAnsiTheme="minorHAnsi" w:cstheme="minorHAnsi"/>
        </w:rPr>
        <w:t xml:space="preserve"> (ARE)</w:t>
      </w:r>
      <w:r w:rsidR="00771374">
        <w:rPr>
          <w:rFonts w:asciiTheme="minorHAnsi" w:hAnsiTheme="minorHAnsi" w:cstheme="minorHAnsi"/>
        </w:rPr>
        <w:t xml:space="preserve"> </w:t>
      </w:r>
      <w:r w:rsidR="00545EAB">
        <w:rPr>
          <w:rFonts w:asciiTheme="minorHAnsi" w:hAnsiTheme="minorHAnsi" w:cstheme="minorHAnsi"/>
        </w:rPr>
        <w:t xml:space="preserve">(previously </w:t>
      </w:r>
      <w:r w:rsidRPr="00B41FF8">
        <w:rPr>
          <w:rFonts w:asciiTheme="minorHAnsi" w:hAnsiTheme="minorHAnsi" w:cstheme="minorHAnsi"/>
        </w:rPr>
        <w:t>B</w:t>
      </w:r>
      <w:r w:rsidR="006A6486">
        <w:rPr>
          <w:rFonts w:asciiTheme="minorHAnsi" w:hAnsiTheme="minorHAnsi" w:cstheme="minorHAnsi"/>
        </w:rPr>
        <w:t xml:space="preserve">lack, </w:t>
      </w:r>
      <w:r w:rsidRPr="00B41FF8">
        <w:rPr>
          <w:rFonts w:asciiTheme="minorHAnsi" w:hAnsiTheme="minorHAnsi" w:cstheme="minorHAnsi"/>
        </w:rPr>
        <w:t>T</w:t>
      </w:r>
      <w:r w:rsidR="006A6486">
        <w:rPr>
          <w:rFonts w:asciiTheme="minorHAnsi" w:hAnsiTheme="minorHAnsi" w:cstheme="minorHAnsi"/>
        </w:rPr>
        <w:t xml:space="preserve">raining and </w:t>
      </w:r>
      <w:r w:rsidRPr="00B41FF8">
        <w:rPr>
          <w:rFonts w:asciiTheme="minorHAnsi" w:hAnsiTheme="minorHAnsi" w:cstheme="minorHAnsi"/>
        </w:rPr>
        <w:t>E</w:t>
      </w:r>
      <w:r w:rsidR="006A6486">
        <w:rPr>
          <w:rFonts w:asciiTheme="minorHAnsi" w:hAnsiTheme="minorHAnsi" w:cstheme="minorHAnsi"/>
        </w:rPr>
        <w:t xml:space="preserve">nterprise </w:t>
      </w:r>
      <w:r w:rsidRPr="00B41FF8">
        <w:rPr>
          <w:rFonts w:asciiTheme="minorHAnsi" w:hAnsiTheme="minorHAnsi" w:cstheme="minorHAnsi"/>
        </w:rPr>
        <w:t>G</w:t>
      </w:r>
      <w:r w:rsidR="006A6486">
        <w:rPr>
          <w:rFonts w:asciiTheme="minorHAnsi" w:hAnsiTheme="minorHAnsi" w:cstheme="minorHAnsi"/>
        </w:rPr>
        <w:t>roup</w:t>
      </w:r>
      <w:r w:rsidR="00545EAB">
        <w:rPr>
          <w:rFonts w:asciiTheme="minorHAnsi" w:hAnsiTheme="minorHAnsi" w:cstheme="minorHAnsi"/>
        </w:rPr>
        <w:t>)</w:t>
      </w:r>
      <w:r w:rsidRPr="00B41FF8">
        <w:rPr>
          <w:rFonts w:asciiTheme="minorHAnsi" w:hAnsiTheme="minorHAnsi" w:cstheme="minorHAnsi"/>
        </w:rPr>
        <w:t xml:space="preserve">, by way of a response, offered some ‘pointers’ as to some policy shifts that could make a difference, especially with regards to the lessons that could be learnt from the Moving On Up </w:t>
      </w:r>
      <w:r>
        <w:rPr>
          <w:rFonts w:asciiTheme="minorHAnsi" w:hAnsiTheme="minorHAnsi" w:cstheme="minorHAnsi"/>
        </w:rPr>
        <w:t>initiative</w:t>
      </w:r>
      <w:r w:rsidRPr="00B41FF8">
        <w:rPr>
          <w:rStyle w:val="FootnoteReference"/>
          <w:rFonts w:asciiTheme="minorHAnsi" w:hAnsiTheme="minorHAnsi" w:cstheme="minorHAnsi"/>
        </w:rPr>
        <w:footnoteReference w:id="11"/>
      </w:r>
      <w:r w:rsidRPr="00B41FF8">
        <w:rPr>
          <w:rFonts w:asciiTheme="minorHAnsi" w:hAnsiTheme="minorHAnsi" w:cstheme="minorHAnsi"/>
        </w:rPr>
        <w:t xml:space="preserve">. </w:t>
      </w:r>
    </w:p>
    <w:p w14:paraId="7A49FCB9" w14:textId="5FE68F60" w:rsidR="000257B6" w:rsidRDefault="000257B6" w:rsidP="000257B6">
      <w:pPr>
        <w:rPr>
          <w:sz w:val="24"/>
          <w:szCs w:val="24"/>
        </w:rPr>
      </w:pPr>
      <w:r w:rsidRPr="00233EC9">
        <w:rPr>
          <w:sz w:val="24"/>
          <w:szCs w:val="24"/>
        </w:rPr>
        <w:t>London is diverse and, at times, complex and vibrant capital city with a population estimated to be in excess of 9</w:t>
      </w:r>
      <w:r w:rsidR="000976F4">
        <w:rPr>
          <w:sz w:val="24"/>
          <w:szCs w:val="24"/>
        </w:rPr>
        <w:t xml:space="preserve"> </w:t>
      </w:r>
      <w:r w:rsidRPr="00233EC9">
        <w:rPr>
          <w:sz w:val="24"/>
          <w:szCs w:val="24"/>
        </w:rPr>
        <w:t>m</w:t>
      </w:r>
      <w:r w:rsidR="00147CE5">
        <w:rPr>
          <w:sz w:val="24"/>
          <w:szCs w:val="24"/>
        </w:rPr>
        <w:t>illion</w:t>
      </w:r>
      <w:r w:rsidR="00226578">
        <w:rPr>
          <w:sz w:val="24"/>
          <w:szCs w:val="24"/>
        </w:rPr>
        <w:t xml:space="preserve">. </w:t>
      </w:r>
      <w:r>
        <w:rPr>
          <w:sz w:val="24"/>
          <w:szCs w:val="24"/>
        </w:rPr>
        <w:t>Based on the GLA Population Projection</w:t>
      </w:r>
      <w:r>
        <w:rPr>
          <w:rStyle w:val="FootnoteReference"/>
          <w:sz w:val="24"/>
          <w:szCs w:val="24"/>
        </w:rPr>
        <w:footnoteReference w:id="12"/>
      </w:r>
      <w:r>
        <w:rPr>
          <w:sz w:val="24"/>
          <w:szCs w:val="24"/>
        </w:rPr>
        <w:t>,</w:t>
      </w:r>
      <w:r w:rsidRPr="005B1706">
        <w:rPr>
          <w:sz w:val="24"/>
          <w:szCs w:val="24"/>
        </w:rPr>
        <w:t xml:space="preserve"> </w:t>
      </w:r>
      <w:r>
        <w:rPr>
          <w:sz w:val="24"/>
          <w:szCs w:val="24"/>
        </w:rPr>
        <w:t>43% of the population in London are classified as BME. The BME profiles across the London boroughs range from 16% in Richmond Upon Thames to 73% in Newham, with 10 authorities having more than 50% of residents being BME and 15 at or above the London average</w:t>
      </w:r>
      <w:r w:rsidR="008B3C85">
        <w:rPr>
          <w:sz w:val="24"/>
          <w:szCs w:val="24"/>
        </w:rPr>
        <w:t xml:space="preserve"> (i.e. 78% of </w:t>
      </w:r>
      <w:r w:rsidR="000F7E48">
        <w:rPr>
          <w:sz w:val="24"/>
          <w:szCs w:val="24"/>
        </w:rPr>
        <w:t xml:space="preserve">London boroughs have more than 4 in 10 of their population </w:t>
      </w:r>
      <w:r w:rsidR="00384F7D">
        <w:rPr>
          <w:sz w:val="24"/>
          <w:szCs w:val="24"/>
        </w:rPr>
        <w:t>being from BME background</w:t>
      </w:r>
      <w:r w:rsidR="008344A0">
        <w:rPr>
          <w:sz w:val="24"/>
          <w:szCs w:val="24"/>
        </w:rPr>
        <w:t>)</w:t>
      </w:r>
      <w:r>
        <w:rPr>
          <w:sz w:val="24"/>
          <w:szCs w:val="24"/>
        </w:rPr>
        <w:t xml:space="preserve">. </w:t>
      </w:r>
    </w:p>
    <w:p w14:paraId="03714411" w14:textId="34AE8478" w:rsidR="000257B6" w:rsidRPr="000A71FB" w:rsidRDefault="008344A0" w:rsidP="000257B6">
      <w:pPr>
        <w:rPr>
          <w:sz w:val="24"/>
          <w:szCs w:val="24"/>
        </w:rPr>
      </w:pPr>
      <w:r w:rsidRPr="00515B74">
        <w:rPr>
          <w:sz w:val="24"/>
          <w:szCs w:val="24"/>
        </w:rPr>
        <w:t>While n</w:t>
      </w:r>
      <w:r w:rsidR="000257B6" w:rsidRPr="00515B74">
        <w:rPr>
          <w:sz w:val="24"/>
          <w:szCs w:val="24"/>
        </w:rPr>
        <w:t>ationally the employment rate is 75.2% with the unemployment rate at 4.6%</w:t>
      </w:r>
      <w:r w:rsidR="000257B6" w:rsidRPr="00515B74">
        <w:rPr>
          <w:rStyle w:val="FootnoteReference"/>
          <w:sz w:val="24"/>
          <w:szCs w:val="24"/>
        </w:rPr>
        <w:footnoteReference w:id="13"/>
      </w:r>
      <w:r w:rsidR="00743782" w:rsidRPr="00515B74">
        <w:rPr>
          <w:sz w:val="24"/>
          <w:szCs w:val="24"/>
        </w:rPr>
        <w:t xml:space="preserve">, </w:t>
      </w:r>
      <w:r w:rsidR="000257B6" w:rsidRPr="00515B74">
        <w:rPr>
          <w:sz w:val="24"/>
          <w:szCs w:val="24"/>
        </w:rPr>
        <w:t xml:space="preserve"> BME  employment rate is lagging nine percentage points behind white groups </w:t>
      </w:r>
      <w:r w:rsidR="00DD323B" w:rsidRPr="00515B74">
        <w:rPr>
          <w:sz w:val="24"/>
          <w:szCs w:val="24"/>
        </w:rPr>
        <w:t xml:space="preserve">(66%) </w:t>
      </w:r>
      <w:r w:rsidR="000257B6" w:rsidRPr="00515B74">
        <w:rPr>
          <w:sz w:val="24"/>
          <w:szCs w:val="24"/>
        </w:rPr>
        <w:t>and, in London, 11 percentage points</w:t>
      </w:r>
      <w:r w:rsidR="00DD323B" w:rsidRPr="00515B74">
        <w:rPr>
          <w:sz w:val="24"/>
          <w:szCs w:val="24"/>
        </w:rPr>
        <w:t xml:space="preserve"> (64%)</w:t>
      </w:r>
      <w:r w:rsidR="000257B6" w:rsidRPr="00515B74">
        <w:rPr>
          <w:sz w:val="24"/>
          <w:szCs w:val="24"/>
        </w:rPr>
        <w:t>.</w:t>
      </w:r>
      <w:r w:rsidR="000257B6" w:rsidRPr="000A71FB">
        <w:rPr>
          <w:sz w:val="24"/>
          <w:szCs w:val="24"/>
        </w:rPr>
        <w:t xml:space="preserve">  </w:t>
      </w:r>
    </w:p>
    <w:p w14:paraId="18C22A85" w14:textId="29C4E15F" w:rsidR="00140087" w:rsidRDefault="000257B6" w:rsidP="000257B6">
      <w:pPr>
        <w:rPr>
          <w:sz w:val="24"/>
          <w:szCs w:val="24"/>
        </w:rPr>
      </w:pPr>
      <w:r w:rsidRPr="000A71FB">
        <w:rPr>
          <w:sz w:val="24"/>
          <w:szCs w:val="24"/>
        </w:rPr>
        <w:t>BME groups are twice as likely to be unemployed than their white counterparts nationally and only marginally less so in London. Given</w:t>
      </w:r>
      <w:r>
        <w:rPr>
          <w:sz w:val="24"/>
          <w:szCs w:val="24"/>
        </w:rPr>
        <w:t xml:space="preserve"> the high presence of BME residents within </w:t>
      </w:r>
      <w:r>
        <w:rPr>
          <w:sz w:val="24"/>
          <w:szCs w:val="24"/>
        </w:rPr>
        <w:lastRenderedPageBreak/>
        <w:t xml:space="preserve">some London boroughs, such as </w:t>
      </w:r>
      <w:r w:rsidRPr="001052F5">
        <w:rPr>
          <w:sz w:val="24"/>
          <w:szCs w:val="24"/>
        </w:rPr>
        <w:t>Newham</w:t>
      </w:r>
      <w:r w:rsidR="00EB74E6" w:rsidRPr="001052F5">
        <w:rPr>
          <w:sz w:val="24"/>
          <w:szCs w:val="24"/>
        </w:rPr>
        <w:t xml:space="preserve"> (7</w:t>
      </w:r>
      <w:r w:rsidR="00E404FF" w:rsidRPr="001052F5">
        <w:rPr>
          <w:sz w:val="24"/>
          <w:szCs w:val="24"/>
        </w:rPr>
        <w:t>3</w:t>
      </w:r>
      <w:r w:rsidR="00EB74E6" w:rsidRPr="001052F5">
        <w:rPr>
          <w:sz w:val="24"/>
          <w:szCs w:val="24"/>
        </w:rPr>
        <w:t>%)</w:t>
      </w:r>
      <w:r w:rsidRPr="001052F5">
        <w:rPr>
          <w:sz w:val="24"/>
          <w:szCs w:val="24"/>
        </w:rPr>
        <w:t>, for example</w:t>
      </w:r>
      <w:r>
        <w:rPr>
          <w:sz w:val="24"/>
          <w:szCs w:val="24"/>
        </w:rPr>
        <w:t xml:space="preserve">, not only </w:t>
      </w:r>
      <w:r w:rsidR="00EB74E6">
        <w:rPr>
          <w:sz w:val="24"/>
          <w:szCs w:val="24"/>
        </w:rPr>
        <w:t xml:space="preserve">are they likely to </w:t>
      </w:r>
      <w:r>
        <w:rPr>
          <w:sz w:val="24"/>
          <w:szCs w:val="24"/>
        </w:rPr>
        <w:t xml:space="preserve">see a high BME unemployment rate, but they </w:t>
      </w:r>
      <w:r w:rsidR="00EB74E6">
        <w:rPr>
          <w:sz w:val="24"/>
          <w:szCs w:val="24"/>
        </w:rPr>
        <w:t xml:space="preserve">are also likely to </w:t>
      </w:r>
      <w:r>
        <w:rPr>
          <w:sz w:val="24"/>
          <w:szCs w:val="24"/>
        </w:rPr>
        <w:t>experience high number</w:t>
      </w:r>
      <w:r w:rsidR="00DD0703">
        <w:rPr>
          <w:sz w:val="24"/>
          <w:szCs w:val="24"/>
        </w:rPr>
        <w:t>s</w:t>
      </w:r>
      <w:r>
        <w:rPr>
          <w:sz w:val="24"/>
          <w:szCs w:val="24"/>
        </w:rPr>
        <w:t xml:space="preserve"> of BME </w:t>
      </w:r>
      <w:r w:rsidR="00DD0703">
        <w:rPr>
          <w:sz w:val="24"/>
          <w:szCs w:val="24"/>
        </w:rPr>
        <w:t xml:space="preserve">people </w:t>
      </w:r>
      <w:r>
        <w:rPr>
          <w:sz w:val="24"/>
          <w:szCs w:val="24"/>
        </w:rPr>
        <w:t>unemployed. And given the decades of persistently stubborn reduction in the unemployment rate of BME groups, there</w:t>
      </w:r>
      <w:r w:rsidR="00DD0703">
        <w:rPr>
          <w:sz w:val="24"/>
          <w:szCs w:val="24"/>
        </w:rPr>
        <w:t xml:space="preserve"> are s</w:t>
      </w:r>
      <w:r>
        <w:rPr>
          <w:sz w:val="24"/>
          <w:szCs w:val="24"/>
        </w:rPr>
        <w:t xml:space="preserve">trong </w:t>
      </w:r>
      <w:r w:rsidR="00DD0703">
        <w:rPr>
          <w:sz w:val="24"/>
          <w:szCs w:val="24"/>
        </w:rPr>
        <w:t xml:space="preserve">reasons </w:t>
      </w:r>
      <w:r w:rsidR="00EF538C">
        <w:rPr>
          <w:sz w:val="24"/>
          <w:szCs w:val="24"/>
        </w:rPr>
        <w:t xml:space="preserve">to want to </w:t>
      </w:r>
      <w:r>
        <w:rPr>
          <w:sz w:val="24"/>
          <w:szCs w:val="24"/>
        </w:rPr>
        <w:t>target</w:t>
      </w:r>
      <w:r w:rsidR="00EF538C">
        <w:rPr>
          <w:sz w:val="24"/>
          <w:szCs w:val="24"/>
        </w:rPr>
        <w:t xml:space="preserve"> </w:t>
      </w:r>
      <w:r>
        <w:rPr>
          <w:sz w:val="24"/>
          <w:szCs w:val="24"/>
        </w:rPr>
        <w:t xml:space="preserve">some support in </w:t>
      </w:r>
      <w:r w:rsidR="00140087">
        <w:rPr>
          <w:sz w:val="24"/>
          <w:szCs w:val="24"/>
        </w:rPr>
        <w:t xml:space="preserve">boroughs with a significantly high level of both </w:t>
      </w:r>
      <w:r w:rsidR="00EF538C">
        <w:rPr>
          <w:sz w:val="24"/>
          <w:szCs w:val="24"/>
        </w:rPr>
        <w:t xml:space="preserve">BME </w:t>
      </w:r>
      <w:r w:rsidR="00140087">
        <w:rPr>
          <w:sz w:val="24"/>
          <w:szCs w:val="24"/>
        </w:rPr>
        <w:t>population as well as high rates of unemployment.</w:t>
      </w:r>
    </w:p>
    <w:p w14:paraId="0E83E046" w14:textId="70AD77C7" w:rsidR="00465860" w:rsidRPr="00F632CD" w:rsidRDefault="00D570B7" w:rsidP="00465860">
      <w:pPr>
        <w:rPr>
          <w:sz w:val="24"/>
          <w:szCs w:val="24"/>
        </w:rPr>
      </w:pPr>
      <w:r>
        <w:rPr>
          <w:sz w:val="24"/>
          <w:szCs w:val="24"/>
        </w:rPr>
        <w:t xml:space="preserve">A reflection on </w:t>
      </w:r>
      <w:r w:rsidR="008B0529">
        <w:rPr>
          <w:sz w:val="24"/>
          <w:szCs w:val="24"/>
        </w:rPr>
        <w:t xml:space="preserve">the </w:t>
      </w:r>
      <w:r w:rsidR="00465860" w:rsidRPr="00F632CD">
        <w:rPr>
          <w:sz w:val="24"/>
          <w:szCs w:val="24"/>
        </w:rPr>
        <w:t>Index of Multiple Deprivation (IMD)</w:t>
      </w:r>
      <w:r w:rsidR="00F94071" w:rsidRPr="00F94071">
        <w:rPr>
          <w:rStyle w:val="FootnoteReference"/>
          <w:sz w:val="24"/>
          <w:szCs w:val="24"/>
        </w:rPr>
        <w:t xml:space="preserve"> </w:t>
      </w:r>
      <w:r w:rsidR="00F94071">
        <w:rPr>
          <w:rStyle w:val="FootnoteReference"/>
          <w:sz w:val="24"/>
          <w:szCs w:val="24"/>
        </w:rPr>
        <w:footnoteReference w:id="14"/>
      </w:r>
      <w:r w:rsidR="00F94071" w:rsidRPr="00CA5F67">
        <w:rPr>
          <w:sz w:val="24"/>
          <w:szCs w:val="24"/>
        </w:rPr>
        <w:t>,</w:t>
      </w:r>
      <w:r w:rsidR="00465860" w:rsidRPr="00F632CD">
        <w:rPr>
          <w:sz w:val="24"/>
          <w:szCs w:val="24"/>
        </w:rPr>
        <w:t xml:space="preserve"> </w:t>
      </w:r>
      <w:r w:rsidR="003471FF">
        <w:rPr>
          <w:sz w:val="24"/>
          <w:szCs w:val="24"/>
        </w:rPr>
        <w:t xml:space="preserve">as a </w:t>
      </w:r>
      <w:r w:rsidR="00465860" w:rsidRPr="00F632CD">
        <w:rPr>
          <w:sz w:val="24"/>
          <w:szCs w:val="24"/>
        </w:rPr>
        <w:t>prox</w:t>
      </w:r>
      <w:r w:rsidR="003471FF">
        <w:rPr>
          <w:sz w:val="24"/>
          <w:szCs w:val="24"/>
        </w:rPr>
        <w:t xml:space="preserve">y for measuring deprivation across </w:t>
      </w:r>
      <w:r w:rsidR="009D2887">
        <w:rPr>
          <w:sz w:val="24"/>
          <w:szCs w:val="24"/>
        </w:rPr>
        <w:t>seven</w:t>
      </w:r>
      <w:r w:rsidR="003471FF">
        <w:rPr>
          <w:sz w:val="24"/>
          <w:szCs w:val="24"/>
        </w:rPr>
        <w:t xml:space="preserve"> domains, </w:t>
      </w:r>
      <w:r w:rsidR="00465860" w:rsidRPr="00F632CD">
        <w:rPr>
          <w:sz w:val="24"/>
          <w:szCs w:val="24"/>
        </w:rPr>
        <w:t xml:space="preserve">especially the domains of employment and education, skills and training and overall ranking, more than 10 boroughs </w:t>
      </w:r>
      <w:r w:rsidR="0082330B">
        <w:rPr>
          <w:sz w:val="24"/>
          <w:szCs w:val="24"/>
        </w:rPr>
        <w:t xml:space="preserve">in London can be </w:t>
      </w:r>
      <w:r w:rsidR="00465860" w:rsidRPr="00F632CD">
        <w:rPr>
          <w:sz w:val="24"/>
          <w:szCs w:val="24"/>
        </w:rPr>
        <w:t xml:space="preserve">identified as </w:t>
      </w:r>
      <w:r w:rsidR="005A532D">
        <w:rPr>
          <w:sz w:val="24"/>
          <w:szCs w:val="24"/>
        </w:rPr>
        <w:t xml:space="preserve">areas for targeted focus because they rank high on the overall indices </w:t>
      </w:r>
      <w:r w:rsidR="009C545D">
        <w:rPr>
          <w:sz w:val="24"/>
          <w:szCs w:val="24"/>
        </w:rPr>
        <w:t xml:space="preserve">of deprivation, though differentially across </w:t>
      </w:r>
      <w:r w:rsidR="009C545D" w:rsidRPr="001052F5">
        <w:rPr>
          <w:sz w:val="24"/>
          <w:szCs w:val="24"/>
        </w:rPr>
        <w:t xml:space="preserve">all </w:t>
      </w:r>
      <w:r w:rsidR="009D2887" w:rsidRPr="001052F5">
        <w:rPr>
          <w:sz w:val="24"/>
          <w:szCs w:val="24"/>
        </w:rPr>
        <w:t>seven</w:t>
      </w:r>
      <w:r w:rsidR="009C545D" w:rsidRPr="001052F5">
        <w:rPr>
          <w:sz w:val="24"/>
          <w:szCs w:val="24"/>
        </w:rPr>
        <w:t xml:space="preserve"> domains</w:t>
      </w:r>
      <w:r w:rsidR="009C545D">
        <w:rPr>
          <w:sz w:val="24"/>
          <w:szCs w:val="24"/>
        </w:rPr>
        <w:t xml:space="preserve">. </w:t>
      </w:r>
      <w:r w:rsidR="001B402F">
        <w:rPr>
          <w:sz w:val="24"/>
          <w:szCs w:val="24"/>
        </w:rPr>
        <w:t xml:space="preserve">This therefore </w:t>
      </w:r>
      <w:r w:rsidR="009660C3">
        <w:rPr>
          <w:sz w:val="24"/>
          <w:szCs w:val="24"/>
        </w:rPr>
        <w:t>raises questions as to criteria, partnership arrangements and above all</w:t>
      </w:r>
      <w:r w:rsidR="00977A15">
        <w:rPr>
          <w:sz w:val="24"/>
          <w:szCs w:val="24"/>
        </w:rPr>
        <w:t>, the</w:t>
      </w:r>
      <w:r w:rsidR="009660C3">
        <w:rPr>
          <w:sz w:val="24"/>
          <w:szCs w:val="24"/>
        </w:rPr>
        <w:t xml:space="preserve"> focus </w:t>
      </w:r>
      <w:r w:rsidR="00977A15">
        <w:rPr>
          <w:sz w:val="24"/>
          <w:szCs w:val="24"/>
        </w:rPr>
        <w:t>of the investment</w:t>
      </w:r>
      <w:r w:rsidR="00940680">
        <w:rPr>
          <w:sz w:val="24"/>
          <w:szCs w:val="24"/>
        </w:rPr>
        <w:t xml:space="preserve">: where would such an investment </w:t>
      </w:r>
      <w:r w:rsidR="00C52C27">
        <w:rPr>
          <w:sz w:val="24"/>
          <w:szCs w:val="24"/>
        </w:rPr>
        <w:t>have greatest impact and over what time period?</w:t>
      </w:r>
      <w:r w:rsidR="00940680">
        <w:rPr>
          <w:sz w:val="24"/>
          <w:szCs w:val="24"/>
        </w:rPr>
        <w:t xml:space="preserve"> </w:t>
      </w:r>
      <w:r w:rsidR="00977A15">
        <w:rPr>
          <w:sz w:val="24"/>
          <w:szCs w:val="24"/>
        </w:rPr>
        <w:t xml:space="preserve"> </w:t>
      </w:r>
    </w:p>
    <w:p w14:paraId="5D5DC448" w14:textId="19247F13" w:rsidR="00E404FF" w:rsidRPr="00CA5F67" w:rsidRDefault="00E404FF" w:rsidP="00E404FF">
      <w:pPr>
        <w:rPr>
          <w:sz w:val="24"/>
          <w:szCs w:val="24"/>
        </w:rPr>
      </w:pPr>
      <w:r w:rsidRPr="001052F5">
        <w:rPr>
          <w:sz w:val="24"/>
          <w:szCs w:val="24"/>
        </w:rPr>
        <w:t xml:space="preserve">Based on </w:t>
      </w:r>
      <w:r w:rsidR="00F94071" w:rsidRPr="001052F5">
        <w:rPr>
          <w:sz w:val="24"/>
          <w:szCs w:val="24"/>
        </w:rPr>
        <w:t xml:space="preserve">the </w:t>
      </w:r>
      <w:r w:rsidRPr="001052F5">
        <w:rPr>
          <w:sz w:val="24"/>
          <w:szCs w:val="24"/>
        </w:rPr>
        <w:t xml:space="preserve">IMD ranking against the seven </w:t>
      </w:r>
      <w:r w:rsidR="009F7EDC" w:rsidRPr="001052F5">
        <w:rPr>
          <w:sz w:val="24"/>
          <w:szCs w:val="24"/>
        </w:rPr>
        <w:t>domains</w:t>
      </w:r>
      <w:r w:rsidRPr="001052F5">
        <w:rPr>
          <w:sz w:val="24"/>
          <w:szCs w:val="24"/>
        </w:rPr>
        <w:t xml:space="preserve">, we </w:t>
      </w:r>
      <w:r w:rsidR="00E45127" w:rsidRPr="001052F5">
        <w:rPr>
          <w:sz w:val="24"/>
          <w:szCs w:val="24"/>
        </w:rPr>
        <w:t xml:space="preserve">found that </w:t>
      </w:r>
      <w:r w:rsidRPr="001052F5">
        <w:rPr>
          <w:sz w:val="24"/>
          <w:szCs w:val="24"/>
        </w:rPr>
        <w:t>of the most deprived</w:t>
      </w:r>
      <w:r>
        <w:rPr>
          <w:sz w:val="24"/>
          <w:szCs w:val="24"/>
        </w:rPr>
        <w:t xml:space="preserve"> 10% of boroughs in London, the</w:t>
      </w:r>
      <w:r w:rsidR="003A4713">
        <w:rPr>
          <w:sz w:val="24"/>
          <w:szCs w:val="24"/>
        </w:rPr>
        <w:t xml:space="preserve">re were eight boroughs </w:t>
      </w:r>
      <w:r w:rsidR="004A7E41">
        <w:rPr>
          <w:sz w:val="24"/>
          <w:szCs w:val="24"/>
        </w:rPr>
        <w:t>where the BME population</w:t>
      </w:r>
      <w:r w:rsidR="007C2805">
        <w:rPr>
          <w:sz w:val="24"/>
          <w:szCs w:val="24"/>
        </w:rPr>
        <w:t xml:space="preserve"> is </w:t>
      </w:r>
      <w:r w:rsidR="00681CE6">
        <w:rPr>
          <w:sz w:val="24"/>
          <w:szCs w:val="24"/>
        </w:rPr>
        <w:t xml:space="preserve">above the </w:t>
      </w:r>
      <w:r w:rsidRPr="00CA5F67">
        <w:rPr>
          <w:sz w:val="24"/>
          <w:szCs w:val="24"/>
        </w:rPr>
        <w:t xml:space="preserve">43% </w:t>
      </w:r>
      <w:r w:rsidR="00681CE6">
        <w:rPr>
          <w:sz w:val="24"/>
          <w:szCs w:val="24"/>
        </w:rPr>
        <w:t xml:space="preserve">London average </w:t>
      </w:r>
      <w:r w:rsidRPr="00CA5F67">
        <w:rPr>
          <w:sz w:val="24"/>
          <w:szCs w:val="24"/>
        </w:rPr>
        <w:t>with four (4) of them having BME population in excess of 50%</w:t>
      </w:r>
      <w:r w:rsidR="0004050D">
        <w:rPr>
          <w:sz w:val="24"/>
          <w:szCs w:val="24"/>
        </w:rPr>
        <w:t>.</w:t>
      </w:r>
      <w:r w:rsidR="003D23C9">
        <w:rPr>
          <w:rStyle w:val="FootnoteReference"/>
          <w:sz w:val="24"/>
          <w:szCs w:val="24"/>
        </w:rPr>
        <w:footnoteReference w:id="15"/>
      </w:r>
    </w:p>
    <w:p w14:paraId="0344C464" w14:textId="0F934B74" w:rsidR="0095230F" w:rsidRPr="00F72805" w:rsidRDefault="0045562E" w:rsidP="0045562E">
      <w:pPr>
        <w:spacing w:before="100" w:beforeAutospacing="1" w:after="120" w:line="240" w:lineRule="auto"/>
        <w:rPr>
          <w:rFonts w:ascii="Calibri" w:eastAsia="Times New Roman" w:hAnsi="Calibri" w:cs="Calibri"/>
          <w:b/>
          <w:bCs/>
          <w:sz w:val="24"/>
          <w:szCs w:val="24"/>
          <w:lang w:eastAsia="en-GB"/>
        </w:rPr>
      </w:pPr>
      <w:r w:rsidRPr="00F72805">
        <w:rPr>
          <w:rFonts w:ascii="Calibri" w:eastAsia="Times New Roman" w:hAnsi="Calibri" w:cs="Calibri"/>
          <w:b/>
          <w:bCs/>
          <w:sz w:val="24"/>
          <w:szCs w:val="24"/>
          <w:lang w:eastAsia="en-GB"/>
        </w:rPr>
        <w:t>What</w:t>
      </w:r>
      <w:r w:rsidR="0095230F" w:rsidRPr="00F72805">
        <w:rPr>
          <w:rFonts w:ascii="Calibri" w:eastAsia="Times New Roman" w:hAnsi="Calibri" w:cs="Calibri"/>
          <w:b/>
          <w:bCs/>
          <w:sz w:val="24"/>
          <w:szCs w:val="24"/>
          <w:lang w:eastAsia="en-GB"/>
        </w:rPr>
        <w:t xml:space="preserve"> then is the implication for </w:t>
      </w:r>
      <w:r w:rsidR="008B0E33" w:rsidRPr="00F72805">
        <w:rPr>
          <w:rFonts w:ascii="Calibri" w:eastAsia="Times New Roman" w:hAnsi="Calibri" w:cs="Calibri"/>
          <w:b/>
          <w:bCs/>
          <w:sz w:val="24"/>
          <w:szCs w:val="24"/>
          <w:lang w:eastAsia="en-GB"/>
        </w:rPr>
        <w:t xml:space="preserve">the P2E </w:t>
      </w:r>
      <w:r w:rsidR="0095230F" w:rsidRPr="00F72805">
        <w:rPr>
          <w:rFonts w:ascii="Calibri" w:eastAsia="Times New Roman" w:hAnsi="Calibri" w:cs="Calibri"/>
          <w:b/>
          <w:bCs/>
          <w:sz w:val="24"/>
          <w:szCs w:val="24"/>
          <w:lang w:eastAsia="en-GB"/>
        </w:rPr>
        <w:t xml:space="preserve">place-based investment </w:t>
      </w:r>
      <w:r w:rsidR="008B0E33" w:rsidRPr="00F72805">
        <w:rPr>
          <w:rFonts w:ascii="Calibri" w:eastAsia="Times New Roman" w:hAnsi="Calibri" w:cs="Calibri"/>
          <w:b/>
          <w:bCs/>
          <w:sz w:val="24"/>
          <w:szCs w:val="24"/>
          <w:lang w:eastAsia="en-GB"/>
        </w:rPr>
        <w:t>programme</w:t>
      </w:r>
      <w:r w:rsidR="0095230F" w:rsidRPr="00F72805">
        <w:rPr>
          <w:rFonts w:ascii="Calibri" w:eastAsia="Times New Roman" w:hAnsi="Calibri" w:cs="Calibri"/>
          <w:b/>
          <w:bCs/>
          <w:sz w:val="24"/>
          <w:szCs w:val="24"/>
          <w:lang w:eastAsia="en-GB"/>
        </w:rPr>
        <w:t xml:space="preserve">? </w:t>
      </w:r>
    </w:p>
    <w:p w14:paraId="743F9A7E" w14:textId="65F7ECDA" w:rsidR="00465860" w:rsidRPr="00F632CD" w:rsidRDefault="00465860" w:rsidP="00465860">
      <w:pPr>
        <w:rPr>
          <w:sz w:val="24"/>
          <w:szCs w:val="24"/>
        </w:rPr>
      </w:pPr>
      <w:r w:rsidRPr="00F632CD">
        <w:rPr>
          <w:sz w:val="24"/>
          <w:szCs w:val="24"/>
        </w:rPr>
        <w:t xml:space="preserve">Boroughs are at different places and there </w:t>
      </w:r>
      <w:r w:rsidR="001E41AE">
        <w:rPr>
          <w:sz w:val="24"/>
          <w:szCs w:val="24"/>
        </w:rPr>
        <w:t xml:space="preserve">is </w:t>
      </w:r>
      <w:r w:rsidRPr="00F632CD">
        <w:rPr>
          <w:sz w:val="24"/>
          <w:szCs w:val="24"/>
        </w:rPr>
        <w:t xml:space="preserve">no </w:t>
      </w:r>
      <w:r w:rsidR="001E41AE">
        <w:rPr>
          <w:sz w:val="24"/>
          <w:szCs w:val="24"/>
        </w:rPr>
        <w:t xml:space="preserve">one size fit all programme that can be adopted or </w:t>
      </w:r>
      <w:r w:rsidR="009D7F62">
        <w:rPr>
          <w:sz w:val="24"/>
          <w:szCs w:val="24"/>
        </w:rPr>
        <w:t xml:space="preserve">easily replicable. </w:t>
      </w:r>
      <w:r w:rsidR="00CD1920">
        <w:rPr>
          <w:sz w:val="24"/>
          <w:szCs w:val="24"/>
        </w:rPr>
        <w:t xml:space="preserve">Given the above </w:t>
      </w:r>
      <w:r w:rsidR="0061620E">
        <w:rPr>
          <w:sz w:val="24"/>
          <w:szCs w:val="24"/>
        </w:rPr>
        <w:t xml:space="preserve">context, </w:t>
      </w:r>
      <w:r w:rsidRPr="00F632CD">
        <w:rPr>
          <w:sz w:val="24"/>
          <w:szCs w:val="24"/>
        </w:rPr>
        <w:t xml:space="preserve">using the profile of the </w:t>
      </w:r>
      <w:r w:rsidR="00B30A8E">
        <w:rPr>
          <w:sz w:val="24"/>
          <w:szCs w:val="24"/>
        </w:rPr>
        <w:t xml:space="preserve">IMD </w:t>
      </w:r>
      <w:r w:rsidRPr="00F632CD">
        <w:rPr>
          <w:sz w:val="24"/>
          <w:szCs w:val="24"/>
        </w:rPr>
        <w:t xml:space="preserve">most deprived 10% of London boroughs, the boroughs that </w:t>
      </w:r>
      <w:r w:rsidR="00B46500">
        <w:rPr>
          <w:sz w:val="24"/>
          <w:szCs w:val="24"/>
        </w:rPr>
        <w:t>sh</w:t>
      </w:r>
      <w:r w:rsidRPr="00F632CD">
        <w:rPr>
          <w:sz w:val="24"/>
          <w:szCs w:val="24"/>
        </w:rPr>
        <w:t xml:space="preserve">ould be targeted </w:t>
      </w:r>
      <w:r w:rsidR="002D354E">
        <w:rPr>
          <w:sz w:val="24"/>
          <w:szCs w:val="24"/>
        </w:rPr>
        <w:t xml:space="preserve">could </w:t>
      </w:r>
      <w:r w:rsidRPr="00F632CD">
        <w:rPr>
          <w:sz w:val="24"/>
          <w:szCs w:val="24"/>
        </w:rPr>
        <w:t>be drawn from this profile</w:t>
      </w:r>
      <w:r w:rsidR="002E3CFB">
        <w:rPr>
          <w:sz w:val="24"/>
          <w:szCs w:val="24"/>
        </w:rPr>
        <w:t>.</w:t>
      </w:r>
      <w:r w:rsidRPr="00F632CD">
        <w:rPr>
          <w:sz w:val="24"/>
          <w:szCs w:val="24"/>
        </w:rPr>
        <w:t xml:space="preserve"> </w:t>
      </w:r>
      <w:r w:rsidR="009C2CE9">
        <w:rPr>
          <w:sz w:val="24"/>
          <w:szCs w:val="24"/>
        </w:rPr>
        <w:t>While not perfect (what is?)</w:t>
      </w:r>
      <w:r w:rsidR="00C93FDB">
        <w:rPr>
          <w:sz w:val="24"/>
          <w:szCs w:val="24"/>
        </w:rPr>
        <w:t xml:space="preserve">, this approach, offers </w:t>
      </w:r>
      <w:r w:rsidR="00E22BDD">
        <w:rPr>
          <w:sz w:val="24"/>
          <w:szCs w:val="24"/>
        </w:rPr>
        <w:t>much to consider and reflect on.</w:t>
      </w:r>
      <w:r w:rsidR="009C2CE9">
        <w:rPr>
          <w:sz w:val="24"/>
          <w:szCs w:val="24"/>
        </w:rPr>
        <w:t xml:space="preserve">  </w:t>
      </w:r>
    </w:p>
    <w:p w14:paraId="52C9EB70" w14:textId="02F060CD" w:rsidR="00662C42" w:rsidRPr="008570A0" w:rsidRDefault="00735E0A" w:rsidP="00662C42">
      <w:pPr>
        <w:rPr>
          <w:rStyle w:val="Emphasis"/>
          <w:rFonts w:cstheme="minorHAnsi"/>
          <w:i w:val="0"/>
          <w:iCs w:val="0"/>
          <w:color w:val="404040"/>
          <w:sz w:val="24"/>
          <w:szCs w:val="24"/>
        </w:rPr>
      </w:pPr>
      <w:r w:rsidRPr="000A3922">
        <w:rPr>
          <w:rStyle w:val="Emphasis"/>
          <w:rFonts w:cstheme="minorHAnsi"/>
          <w:i w:val="0"/>
          <w:iCs w:val="0"/>
          <w:color w:val="404040"/>
          <w:sz w:val="24"/>
          <w:szCs w:val="24"/>
        </w:rPr>
        <w:t>Additionally, a</w:t>
      </w:r>
      <w:r w:rsidR="00662C42" w:rsidRPr="000A3922">
        <w:rPr>
          <w:rStyle w:val="Emphasis"/>
          <w:rFonts w:cstheme="minorHAnsi"/>
          <w:i w:val="0"/>
          <w:iCs w:val="0"/>
          <w:color w:val="404040"/>
          <w:sz w:val="24"/>
          <w:szCs w:val="24"/>
        </w:rPr>
        <w:t>s part of the process to inform the place-based approach</w:t>
      </w:r>
      <w:r w:rsidR="0031417C" w:rsidRPr="000A3922">
        <w:rPr>
          <w:rStyle w:val="Emphasis"/>
          <w:rFonts w:cstheme="minorHAnsi"/>
          <w:i w:val="0"/>
          <w:iCs w:val="0"/>
          <w:color w:val="404040"/>
          <w:sz w:val="24"/>
          <w:szCs w:val="24"/>
        </w:rPr>
        <w:t xml:space="preserve"> we </w:t>
      </w:r>
      <w:r w:rsidR="00FF115F" w:rsidRPr="000A3922">
        <w:rPr>
          <w:rStyle w:val="Emphasis"/>
          <w:rFonts w:cstheme="minorHAnsi"/>
          <w:i w:val="0"/>
          <w:iCs w:val="0"/>
          <w:color w:val="404040"/>
          <w:sz w:val="24"/>
          <w:szCs w:val="24"/>
        </w:rPr>
        <w:t xml:space="preserve">received 20 responses from our </w:t>
      </w:r>
      <w:r w:rsidR="00662C42" w:rsidRPr="000A3922">
        <w:rPr>
          <w:rStyle w:val="Emphasis"/>
          <w:rFonts w:cstheme="minorHAnsi"/>
          <w:i w:val="0"/>
          <w:iCs w:val="0"/>
          <w:color w:val="404040"/>
          <w:sz w:val="24"/>
          <w:szCs w:val="24"/>
        </w:rPr>
        <w:t>survey</w:t>
      </w:r>
      <w:r w:rsidR="00893E2A" w:rsidRPr="000A3922">
        <w:rPr>
          <w:rStyle w:val="Emphasis"/>
          <w:rFonts w:cstheme="minorHAnsi"/>
          <w:i w:val="0"/>
          <w:iCs w:val="0"/>
          <w:color w:val="404040"/>
          <w:sz w:val="24"/>
          <w:szCs w:val="24"/>
        </w:rPr>
        <w:t xml:space="preserve"> </w:t>
      </w:r>
      <w:r w:rsidR="00662C42" w:rsidRPr="000A3922">
        <w:rPr>
          <w:rStyle w:val="Emphasis"/>
          <w:rFonts w:cstheme="minorHAnsi"/>
          <w:i w:val="0"/>
          <w:iCs w:val="0"/>
          <w:color w:val="404040"/>
          <w:sz w:val="24"/>
          <w:szCs w:val="24"/>
        </w:rPr>
        <w:t xml:space="preserve">from 15 different boroughs </w:t>
      </w:r>
      <w:r w:rsidR="00893E2A" w:rsidRPr="000A3922">
        <w:rPr>
          <w:rStyle w:val="Emphasis"/>
          <w:rFonts w:cstheme="minorHAnsi"/>
          <w:i w:val="0"/>
          <w:iCs w:val="0"/>
          <w:color w:val="404040"/>
          <w:sz w:val="24"/>
          <w:szCs w:val="24"/>
        </w:rPr>
        <w:t xml:space="preserve">from </w:t>
      </w:r>
      <w:r w:rsidR="00662C42" w:rsidRPr="000A3922">
        <w:rPr>
          <w:rStyle w:val="Emphasis"/>
          <w:rFonts w:cstheme="minorHAnsi"/>
          <w:i w:val="0"/>
          <w:iCs w:val="0"/>
          <w:color w:val="404040"/>
          <w:sz w:val="24"/>
          <w:szCs w:val="24"/>
        </w:rPr>
        <w:t>those VSOs that are BME led</w:t>
      </w:r>
      <w:r w:rsidR="008570A0" w:rsidRPr="000A3922">
        <w:rPr>
          <w:rStyle w:val="Emphasis"/>
          <w:rFonts w:cstheme="minorHAnsi"/>
          <w:i w:val="0"/>
          <w:iCs w:val="0"/>
          <w:color w:val="404040"/>
          <w:sz w:val="24"/>
          <w:szCs w:val="24"/>
        </w:rPr>
        <w:t>,</w:t>
      </w:r>
      <w:r w:rsidR="00662C42" w:rsidRPr="000A3922">
        <w:rPr>
          <w:rStyle w:val="Emphasis"/>
          <w:rFonts w:cstheme="minorHAnsi"/>
          <w:i w:val="0"/>
          <w:iCs w:val="0"/>
          <w:color w:val="404040"/>
          <w:sz w:val="24"/>
          <w:szCs w:val="24"/>
        </w:rPr>
        <w:t> by and for, and/or support BME communities specifically around employment, enterprise and financial health. Their input has</w:t>
      </w:r>
      <w:r w:rsidR="007F70F6" w:rsidRPr="000A3922">
        <w:rPr>
          <w:rStyle w:val="Emphasis"/>
          <w:rFonts w:cstheme="minorHAnsi"/>
          <w:i w:val="0"/>
          <w:iCs w:val="0"/>
          <w:color w:val="404040"/>
          <w:sz w:val="24"/>
          <w:szCs w:val="24"/>
        </w:rPr>
        <w:t xml:space="preserve"> also </w:t>
      </w:r>
      <w:r w:rsidR="00662C42" w:rsidRPr="000A3922">
        <w:rPr>
          <w:rStyle w:val="Emphasis"/>
          <w:rFonts w:cstheme="minorHAnsi"/>
          <w:i w:val="0"/>
          <w:iCs w:val="0"/>
          <w:color w:val="404040"/>
          <w:sz w:val="24"/>
          <w:szCs w:val="24"/>
        </w:rPr>
        <w:t>contributed to the overall findings on place-based support</w:t>
      </w:r>
      <w:r w:rsidR="007F70F6" w:rsidRPr="000A3922">
        <w:rPr>
          <w:rStyle w:val="Emphasis"/>
          <w:rFonts w:cstheme="minorHAnsi"/>
          <w:i w:val="0"/>
          <w:iCs w:val="0"/>
          <w:color w:val="404040"/>
          <w:sz w:val="24"/>
          <w:szCs w:val="24"/>
        </w:rPr>
        <w:t xml:space="preserve">, especially with respect to </w:t>
      </w:r>
      <w:r w:rsidR="00692725" w:rsidRPr="000A3922">
        <w:rPr>
          <w:rStyle w:val="Emphasis"/>
          <w:rFonts w:cstheme="minorHAnsi"/>
          <w:i w:val="0"/>
          <w:iCs w:val="0"/>
          <w:color w:val="404040"/>
          <w:sz w:val="24"/>
          <w:szCs w:val="24"/>
        </w:rPr>
        <w:t>the presence of provisions in those boroughs</w:t>
      </w:r>
      <w:r w:rsidR="00662C42" w:rsidRPr="000A3922">
        <w:rPr>
          <w:rStyle w:val="Emphasis"/>
          <w:rFonts w:cstheme="minorHAnsi"/>
          <w:i w:val="0"/>
          <w:iCs w:val="0"/>
          <w:color w:val="404040"/>
          <w:sz w:val="24"/>
          <w:szCs w:val="24"/>
        </w:rPr>
        <w:t>.</w:t>
      </w:r>
    </w:p>
    <w:p w14:paraId="1C3F5F58" w14:textId="77777777" w:rsidR="00705635" w:rsidRDefault="009F753E" w:rsidP="00465860">
      <w:pPr>
        <w:rPr>
          <w:sz w:val="24"/>
          <w:szCs w:val="24"/>
        </w:rPr>
      </w:pPr>
      <w:r>
        <w:rPr>
          <w:sz w:val="24"/>
          <w:szCs w:val="24"/>
        </w:rPr>
        <w:t>T</w:t>
      </w:r>
      <w:r w:rsidR="00A05EE7">
        <w:rPr>
          <w:sz w:val="24"/>
          <w:szCs w:val="24"/>
        </w:rPr>
        <w:t xml:space="preserve">o support the decision-making process, </w:t>
      </w:r>
      <w:r w:rsidR="00346A9A">
        <w:rPr>
          <w:sz w:val="24"/>
          <w:szCs w:val="24"/>
        </w:rPr>
        <w:t xml:space="preserve">the proportion of BME </w:t>
      </w:r>
      <w:r w:rsidR="00657F11">
        <w:rPr>
          <w:sz w:val="24"/>
          <w:szCs w:val="24"/>
        </w:rPr>
        <w:t>p</w:t>
      </w:r>
      <w:r w:rsidR="00346A9A">
        <w:rPr>
          <w:sz w:val="24"/>
          <w:szCs w:val="24"/>
        </w:rPr>
        <w:t xml:space="preserve">opulation </w:t>
      </w:r>
      <w:r w:rsidR="00CD4147">
        <w:rPr>
          <w:sz w:val="24"/>
          <w:szCs w:val="24"/>
        </w:rPr>
        <w:t xml:space="preserve">within each </w:t>
      </w:r>
      <w:r w:rsidR="00465860" w:rsidRPr="00F632CD">
        <w:rPr>
          <w:sz w:val="24"/>
          <w:szCs w:val="24"/>
        </w:rPr>
        <w:t xml:space="preserve">borough (median is 41%) </w:t>
      </w:r>
      <w:r w:rsidR="00A82934">
        <w:rPr>
          <w:sz w:val="24"/>
          <w:szCs w:val="24"/>
        </w:rPr>
        <w:t xml:space="preserve">was </w:t>
      </w:r>
      <w:r w:rsidR="00452581">
        <w:rPr>
          <w:sz w:val="24"/>
          <w:szCs w:val="24"/>
        </w:rPr>
        <w:t xml:space="preserve">identified to provide a sense of </w:t>
      </w:r>
      <w:r w:rsidR="00005996">
        <w:rPr>
          <w:sz w:val="24"/>
          <w:szCs w:val="24"/>
        </w:rPr>
        <w:t>population density.</w:t>
      </w:r>
      <w:r w:rsidR="00EF01B3">
        <w:rPr>
          <w:sz w:val="24"/>
          <w:szCs w:val="24"/>
        </w:rPr>
        <w:t xml:space="preserve"> Those </w:t>
      </w:r>
      <w:r w:rsidR="00EF01B3">
        <w:rPr>
          <w:sz w:val="24"/>
          <w:szCs w:val="24"/>
        </w:rPr>
        <w:lastRenderedPageBreak/>
        <w:t xml:space="preserve">boroughs were then cross referenced </w:t>
      </w:r>
      <w:r w:rsidR="00501074">
        <w:rPr>
          <w:sz w:val="24"/>
          <w:szCs w:val="24"/>
        </w:rPr>
        <w:t xml:space="preserve">to the </w:t>
      </w:r>
      <w:r w:rsidR="00465860" w:rsidRPr="00F632CD">
        <w:rPr>
          <w:sz w:val="24"/>
          <w:szCs w:val="24"/>
        </w:rPr>
        <w:t>IMD</w:t>
      </w:r>
      <w:r w:rsidR="00501074">
        <w:rPr>
          <w:sz w:val="24"/>
          <w:szCs w:val="24"/>
        </w:rPr>
        <w:t xml:space="preserve"> ranking</w:t>
      </w:r>
      <w:r w:rsidR="00465860" w:rsidRPr="00F632CD">
        <w:rPr>
          <w:sz w:val="24"/>
          <w:szCs w:val="24"/>
        </w:rPr>
        <w:t>,</w:t>
      </w:r>
      <w:r w:rsidR="00501074">
        <w:rPr>
          <w:sz w:val="24"/>
          <w:szCs w:val="24"/>
        </w:rPr>
        <w:t xml:space="preserve"> to </w:t>
      </w:r>
      <w:r w:rsidR="00334AA4">
        <w:rPr>
          <w:sz w:val="24"/>
          <w:szCs w:val="24"/>
        </w:rPr>
        <w:t xml:space="preserve">obtain a sense of disadvantage and </w:t>
      </w:r>
      <w:r w:rsidR="006D2D88">
        <w:rPr>
          <w:sz w:val="24"/>
          <w:szCs w:val="24"/>
        </w:rPr>
        <w:t>econo</w:t>
      </w:r>
      <w:r w:rsidR="0082423C">
        <w:rPr>
          <w:sz w:val="24"/>
          <w:szCs w:val="24"/>
        </w:rPr>
        <w:t xml:space="preserve">mic </w:t>
      </w:r>
      <w:r w:rsidR="00334AA4">
        <w:rPr>
          <w:sz w:val="24"/>
          <w:szCs w:val="24"/>
        </w:rPr>
        <w:t>need</w:t>
      </w:r>
      <w:r w:rsidR="00DC1205">
        <w:rPr>
          <w:sz w:val="24"/>
          <w:szCs w:val="24"/>
        </w:rPr>
        <w:t xml:space="preserve">, such as </w:t>
      </w:r>
      <w:r w:rsidR="00465860" w:rsidRPr="00F632CD">
        <w:rPr>
          <w:sz w:val="24"/>
          <w:szCs w:val="24"/>
        </w:rPr>
        <w:t>unemployment rate</w:t>
      </w:r>
      <w:r w:rsidR="00705635">
        <w:rPr>
          <w:sz w:val="24"/>
          <w:szCs w:val="24"/>
        </w:rPr>
        <w:t xml:space="preserve">. </w:t>
      </w:r>
    </w:p>
    <w:p w14:paraId="4012B605" w14:textId="77777777" w:rsidR="00AC5250" w:rsidRDefault="0055304B" w:rsidP="0055304B">
      <w:pPr>
        <w:shd w:val="clear" w:color="auto" w:fill="FFFFFF"/>
        <w:spacing w:after="300" w:line="240" w:lineRule="auto"/>
        <w:outlineLvl w:val="2"/>
        <w:rPr>
          <w:rFonts w:eastAsia="Times New Roman" w:cstheme="minorHAnsi"/>
          <w:color w:val="0B0C0C"/>
          <w:sz w:val="24"/>
          <w:szCs w:val="24"/>
          <w:lang w:eastAsia="en-GB"/>
        </w:rPr>
      </w:pPr>
      <w:r w:rsidRPr="00754915">
        <w:rPr>
          <w:rFonts w:eastAsia="Times New Roman" w:cstheme="minorHAnsi"/>
          <w:color w:val="0B0C0C"/>
          <w:sz w:val="24"/>
          <w:szCs w:val="24"/>
          <w:lang w:eastAsia="en-GB"/>
        </w:rPr>
        <w:t>Taking into account the forego</w:t>
      </w:r>
      <w:r w:rsidR="00B4034C">
        <w:rPr>
          <w:rFonts w:eastAsia="Times New Roman" w:cstheme="minorHAnsi"/>
          <w:color w:val="0B0C0C"/>
          <w:sz w:val="24"/>
          <w:szCs w:val="24"/>
          <w:lang w:eastAsia="en-GB"/>
        </w:rPr>
        <w:t xml:space="preserve">ne </w:t>
      </w:r>
      <w:r w:rsidRPr="00754915">
        <w:rPr>
          <w:rFonts w:eastAsia="Times New Roman" w:cstheme="minorHAnsi"/>
          <w:color w:val="0B0C0C"/>
          <w:sz w:val="24"/>
          <w:szCs w:val="24"/>
          <w:lang w:eastAsia="en-GB"/>
        </w:rPr>
        <w:t>considerations, the evidence suggest</w:t>
      </w:r>
      <w:r w:rsidR="00CA65F8">
        <w:rPr>
          <w:rFonts w:eastAsia="Times New Roman" w:cstheme="minorHAnsi"/>
          <w:color w:val="0B0C0C"/>
          <w:sz w:val="24"/>
          <w:szCs w:val="24"/>
          <w:lang w:eastAsia="en-GB"/>
        </w:rPr>
        <w:t>s</w:t>
      </w:r>
      <w:r w:rsidRPr="00754915">
        <w:rPr>
          <w:rFonts w:eastAsia="Times New Roman" w:cstheme="minorHAnsi"/>
          <w:color w:val="0B0C0C"/>
          <w:sz w:val="24"/>
          <w:szCs w:val="24"/>
          <w:lang w:eastAsia="en-GB"/>
        </w:rPr>
        <w:t xml:space="preserve"> a focus on </w:t>
      </w:r>
      <w:r>
        <w:rPr>
          <w:rFonts w:eastAsia="Times New Roman" w:cstheme="minorHAnsi"/>
          <w:color w:val="0B0C0C"/>
          <w:sz w:val="24"/>
          <w:szCs w:val="24"/>
          <w:lang w:eastAsia="en-GB"/>
        </w:rPr>
        <w:t>th</w:t>
      </w:r>
      <w:r w:rsidR="00CA65F8">
        <w:rPr>
          <w:rFonts w:eastAsia="Times New Roman" w:cstheme="minorHAnsi"/>
          <w:color w:val="0B0C0C"/>
          <w:sz w:val="24"/>
          <w:szCs w:val="24"/>
          <w:lang w:eastAsia="en-GB"/>
        </w:rPr>
        <w:t xml:space="preserve">ose </w:t>
      </w:r>
      <w:r w:rsidRPr="00754915">
        <w:rPr>
          <w:rFonts w:eastAsia="Times New Roman" w:cstheme="minorHAnsi"/>
          <w:color w:val="0B0C0C"/>
          <w:sz w:val="24"/>
          <w:szCs w:val="24"/>
          <w:lang w:eastAsia="en-GB"/>
        </w:rPr>
        <w:t xml:space="preserve">boroughs </w:t>
      </w:r>
      <w:r>
        <w:rPr>
          <w:rFonts w:eastAsia="Times New Roman" w:cstheme="minorHAnsi"/>
          <w:color w:val="0B0C0C"/>
          <w:sz w:val="24"/>
          <w:szCs w:val="24"/>
          <w:lang w:eastAsia="en-GB"/>
        </w:rPr>
        <w:t xml:space="preserve">to be targeted </w:t>
      </w:r>
      <w:r w:rsidR="005E71A7">
        <w:rPr>
          <w:rFonts w:eastAsia="Times New Roman" w:cstheme="minorHAnsi"/>
          <w:color w:val="0B0C0C"/>
          <w:sz w:val="24"/>
          <w:szCs w:val="24"/>
          <w:lang w:eastAsia="en-GB"/>
        </w:rPr>
        <w:t>w</w:t>
      </w:r>
      <w:r w:rsidRPr="00754915">
        <w:rPr>
          <w:rFonts w:eastAsia="Times New Roman" w:cstheme="minorHAnsi"/>
          <w:color w:val="0B0C0C"/>
          <w:sz w:val="24"/>
          <w:szCs w:val="24"/>
          <w:lang w:eastAsia="en-GB"/>
        </w:rPr>
        <w:t xml:space="preserve">ould </w:t>
      </w:r>
      <w:r w:rsidR="005E71A7">
        <w:rPr>
          <w:rFonts w:eastAsia="Times New Roman" w:cstheme="minorHAnsi"/>
          <w:color w:val="0B0C0C"/>
          <w:sz w:val="24"/>
          <w:szCs w:val="24"/>
          <w:lang w:eastAsia="en-GB"/>
        </w:rPr>
        <w:t xml:space="preserve">include </w:t>
      </w:r>
      <w:r w:rsidR="00163201">
        <w:rPr>
          <w:rFonts w:eastAsia="Times New Roman" w:cstheme="minorHAnsi"/>
          <w:color w:val="0B0C0C"/>
          <w:sz w:val="24"/>
          <w:szCs w:val="24"/>
          <w:lang w:eastAsia="en-GB"/>
        </w:rPr>
        <w:t xml:space="preserve">the following </w:t>
      </w:r>
      <w:r w:rsidRPr="00754915">
        <w:rPr>
          <w:rFonts w:eastAsia="Times New Roman" w:cstheme="minorHAnsi"/>
          <w:color w:val="0B0C0C"/>
          <w:sz w:val="24"/>
          <w:szCs w:val="24"/>
          <w:lang w:eastAsia="en-GB"/>
        </w:rPr>
        <w:t xml:space="preserve">16 most deprived 10% </w:t>
      </w:r>
      <w:r w:rsidR="00187DAE">
        <w:rPr>
          <w:rFonts w:eastAsia="Times New Roman" w:cstheme="minorHAnsi"/>
          <w:color w:val="0B0C0C"/>
          <w:sz w:val="24"/>
          <w:szCs w:val="24"/>
          <w:lang w:eastAsia="en-GB"/>
        </w:rPr>
        <w:t>of boroughs</w:t>
      </w:r>
      <w:r w:rsidR="00AC5250">
        <w:rPr>
          <w:rFonts w:eastAsia="Times New Roman" w:cstheme="minorHAnsi"/>
          <w:color w:val="0B0C0C"/>
          <w:sz w:val="24"/>
          <w:szCs w:val="24"/>
          <w:lang w:eastAsia="en-GB"/>
        </w:rPr>
        <w:t>:</w:t>
      </w:r>
    </w:p>
    <w:p w14:paraId="47CBFFAC" w14:textId="64B85C80" w:rsidR="00511CE3" w:rsidRPr="00C74137" w:rsidRDefault="00511CE3"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Barking and Dagenham</w:t>
      </w:r>
    </w:p>
    <w:p w14:paraId="42386524"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Brent </w:t>
      </w:r>
    </w:p>
    <w:p w14:paraId="72AD293D"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Croydon </w:t>
      </w:r>
    </w:p>
    <w:p w14:paraId="7B20265E"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Ealing </w:t>
      </w:r>
    </w:p>
    <w:p w14:paraId="4F883FB5"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Enfield </w:t>
      </w:r>
    </w:p>
    <w:p w14:paraId="45EA1684"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Greenwich </w:t>
      </w:r>
    </w:p>
    <w:p w14:paraId="3D7FD734" w14:textId="77777777" w:rsidR="002177FE" w:rsidRPr="00C74137" w:rsidRDefault="002177FE"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Hackney </w:t>
      </w:r>
    </w:p>
    <w:p w14:paraId="690D0D60"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color w:val="0B0C0C"/>
          <w:sz w:val="24"/>
          <w:szCs w:val="24"/>
          <w:lang w:eastAsia="en-GB"/>
        </w:rPr>
      </w:pPr>
      <w:r w:rsidRPr="00C74137">
        <w:rPr>
          <w:rFonts w:eastAsia="Times New Roman" w:cstheme="minorHAnsi"/>
          <w:sz w:val="24"/>
          <w:szCs w:val="24"/>
          <w:lang w:eastAsia="en-GB"/>
        </w:rPr>
        <w:t>Hammersmith and Fulham</w:t>
      </w:r>
    </w:p>
    <w:p w14:paraId="76E26B07" w14:textId="77777777" w:rsidR="00A86042" w:rsidRPr="00C74137" w:rsidRDefault="00A86042" w:rsidP="00A86042">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Haringey </w:t>
      </w:r>
    </w:p>
    <w:p w14:paraId="64230527" w14:textId="77777777" w:rsidR="0071099F" w:rsidRPr="00C74137" w:rsidRDefault="0071099F" w:rsidP="0071099F">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Islington </w:t>
      </w:r>
    </w:p>
    <w:p w14:paraId="0E5EFF56" w14:textId="737B8542" w:rsidR="00511CE3" w:rsidRPr="00C74137" w:rsidRDefault="0071099F"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Lambeth </w:t>
      </w:r>
    </w:p>
    <w:p w14:paraId="00FA1459" w14:textId="77777777" w:rsidR="0071099F" w:rsidRDefault="0071099F"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Lewisham </w:t>
      </w:r>
    </w:p>
    <w:p w14:paraId="1CD1212A" w14:textId="77777777" w:rsidR="005A5EFE" w:rsidRDefault="005A5EFE" w:rsidP="0071099F">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Newham </w:t>
      </w:r>
    </w:p>
    <w:p w14:paraId="10F87990" w14:textId="781D72FC" w:rsidR="0071099F" w:rsidRPr="00C74137" w:rsidRDefault="0071099F" w:rsidP="0071099F">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Southwark </w:t>
      </w:r>
    </w:p>
    <w:p w14:paraId="5D4996B6" w14:textId="0F0D015D" w:rsidR="00147FF2" w:rsidRPr="00C74137" w:rsidRDefault="00004039"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Tower Hamlets</w:t>
      </w:r>
      <w:r w:rsidR="00147FF2" w:rsidRPr="00C74137">
        <w:rPr>
          <w:rFonts w:eastAsia="Times New Roman" w:cstheme="minorHAnsi"/>
          <w:sz w:val="24"/>
          <w:szCs w:val="24"/>
          <w:lang w:eastAsia="en-GB"/>
        </w:rPr>
        <w:t xml:space="preserve"> </w:t>
      </w:r>
    </w:p>
    <w:p w14:paraId="136C85C2" w14:textId="77777777" w:rsidR="003D27FA" w:rsidRPr="00C74137" w:rsidRDefault="003D27FA" w:rsidP="00C74137">
      <w:pPr>
        <w:pStyle w:val="ListParagraph"/>
        <w:numPr>
          <w:ilvl w:val="0"/>
          <w:numId w:val="11"/>
        </w:numPr>
        <w:shd w:val="clear" w:color="auto" w:fill="FFFFFF"/>
        <w:spacing w:after="300" w:line="240" w:lineRule="auto"/>
        <w:outlineLvl w:val="2"/>
        <w:rPr>
          <w:rFonts w:eastAsia="Times New Roman" w:cstheme="minorHAnsi"/>
          <w:sz w:val="24"/>
          <w:szCs w:val="24"/>
          <w:lang w:eastAsia="en-GB"/>
        </w:rPr>
      </w:pPr>
      <w:r w:rsidRPr="00C74137">
        <w:rPr>
          <w:rFonts w:eastAsia="Times New Roman" w:cstheme="minorHAnsi"/>
          <w:sz w:val="24"/>
          <w:szCs w:val="24"/>
          <w:lang w:eastAsia="en-GB"/>
        </w:rPr>
        <w:t xml:space="preserve">Waltham Forest </w:t>
      </w:r>
    </w:p>
    <w:p w14:paraId="4E39598F" w14:textId="71315DEE" w:rsidR="00031EBE" w:rsidRPr="00143444" w:rsidRDefault="00566C41" w:rsidP="00031EBE">
      <w:pPr>
        <w:rPr>
          <w:rFonts w:cstheme="minorHAnsi"/>
          <w:sz w:val="24"/>
          <w:szCs w:val="24"/>
        </w:rPr>
      </w:pPr>
      <w:r>
        <w:rPr>
          <w:rFonts w:cstheme="minorHAnsi"/>
          <w:sz w:val="24"/>
          <w:szCs w:val="24"/>
        </w:rPr>
        <w:t>With limited resources to invest</w:t>
      </w:r>
      <w:r w:rsidR="00630173">
        <w:rPr>
          <w:rFonts w:cstheme="minorHAnsi"/>
          <w:sz w:val="24"/>
          <w:szCs w:val="24"/>
        </w:rPr>
        <w:t xml:space="preserve"> over a two year period, a</w:t>
      </w:r>
      <w:r w:rsidR="00031EBE" w:rsidRPr="00143444">
        <w:rPr>
          <w:rFonts w:cstheme="minorHAnsi"/>
          <w:sz w:val="24"/>
          <w:szCs w:val="24"/>
        </w:rPr>
        <w:t xml:space="preserve">s the focus of the programme is on disadvantage in the labour market of BME population, based on </w:t>
      </w:r>
      <w:r w:rsidR="00031EBE" w:rsidRPr="001052F5">
        <w:rPr>
          <w:rFonts w:cstheme="minorHAnsi"/>
          <w:sz w:val="24"/>
          <w:szCs w:val="24"/>
        </w:rPr>
        <w:t>Table 1</w:t>
      </w:r>
      <w:r w:rsidR="00E01899" w:rsidRPr="001052F5">
        <w:rPr>
          <w:rFonts w:cstheme="minorHAnsi"/>
          <w:sz w:val="24"/>
          <w:szCs w:val="24"/>
        </w:rPr>
        <w:t xml:space="preserve"> below</w:t>
      </w:r>
      <w:r w:rsidR="004C01C1" w:rsidRPr="001052F5">
        <w:rPr>
          <w:rFonts w:cstheme="minorHAnsi"/>
          <w:color w:val="FF0000"/>
          <w:sz w:val="24"/>
          <w:szCs w:val="24"/>
        </w:rPr>
        <w:t xml:space="preserve"> </w:t>
      </w:r>
      <w:r w:rsidR="007B1F7D" w:rsidRPr="001052F5">
        <w:rPr>
          <w:rFonts w:cstheme="minorHAnsi"/>
          <w:color w:val="FF0000"/>
          <w:sz w:val="24"/>
          <w:szCs w:val="24"/>
        </w:rPr>
        <w:t xml:space="preserve">- </w:t>
      </w:r>
      <w:r w:rsidR="00031EBE" w:rsidRPr="001052F5">
        <w:rPr>
          <w:rFonts w:cstheme="minorHAnsi"/>
          <w:sz w:val="24"/>
          <w:szCs w:val="24"/>
        </w:rPr>
        <w:t>using</w:t>
      </w:r>
      <w:r w:rsidR="00031EBE" w:rsidRPr="00143444">
        <w:rPr>
          <w:rFonts w:cstheme="minorHAnsi"/>
          <w:sz w:val="24"/>
          <w:szCs w:val="24"/>
        </w:rPr>
        <w:t xml:space="preserve"> % BAME in each borough (median is 41%), the ranking on </w:t>
      </w:r>
      <w:r w:rsidR="008E7882">
        <w:rPr>
          <w:rFonts w:cstheme="minorHAnsi"/>
          <w:sz w:val="24"/>
          <w:szCs w:val="24"/>
        </w:rPr>
        <w:t>IMD</w:t>
      </w:r>
      <w:r w:rsidR="00031EBE" w:rsidRPr="00143444">
        <w:rPr>
          <w:rFonts w:cstheme="minorHAnsi"/>
          <w:color w:val="444444"/>
          <w:sz w:val="24"/>
          <w:szCs w:val="24"/>
          <w:shd w:val="clear" w:color="auto" w:fill="FFFFFF"/>
        </w:rPr>
        <w:t xml:space="preserve"> </w:t>
      </w:r>
      <w:r w:rsidR="00031EBE" w:rsidRPr="00143444">
        <w:rPr>
          <w:rFonts w:cstheme="minorHAnsi"/>
          <w:sz w:val="24"/>
          <w:szCs w:val="24"/>
        </w:rPr>
        <w:t xml:space="preserve">and </w:t>
      </w:r>
      <w:r w:rsidR="0014025A">
        <w:rPr>
          <w:rFonts w:cstheme="minorHAnsi"/>
          <w:sz w:val="24"/>
          <w:szCs w:val="24"/>
        </w:rPr>
        <w:t>those boroughs with a significantly higher unemployment rate than the national average (</w:t>
      </w:r>
      <w:r w:rsidR="00031EBE" w:rsidRPr="00143444">
        <w:rPr>
          <w:rFonts w:cstheme="minorHAnsi"/>
          <w:sz w:val="24"/>
          <w:szCs w:val="24"/>
        </w:rPr>
        <w:t>4.2%</w:t>
      </w:r>
      <w:r w:rsidR="001C7CA8">
        <w:rPr>
          <w:rFonts w:cstheme="minorHAnsi"/>
          <w:sz w:val="24"/>
          <w:szCs w:val="24"/>
        </w:rPr>
        <w:t xml:space="preserve"> based </w:t>
      </w:r>
      <w:r w:rsidR="00031EBE" w:rsidRPr="00143444">
        <w:rPr>
          <w:rFonts w:cstheme="minorHAnsi"/>
          <w:sz w:val="24"/>
          <w:szCs w:val="24"/>
        </w:rPr>
        <w:t>ONS, 2022)</w:t>
      </w:r>
      <w:r w:rsidR="0065435B">
        <w:rPr>
          <w:rFonts w:cstheme="minorHAnsi"/>
          <w:sz w:val="24"/>
          <w:szCs w:val="24"/>
        </w:rPr>
        <w:t xml:space="preserve"> - </w:t>
      </w:r>
      <w:r w:rsidR="00031EBE" w:rsidRPr="00143444">
        <w:rPr>
          <w:rFonts w:cstheme="minorHAnsi"/>
          <w:sz w:val="24"/>
          <w:szCs w:val="24"/>
        </w:rPr>
        <w:t xml:space="preserve">two options </w:t>
      </w:r>
      <w:r w:rsidR="00A86A42">
        <w:rPr>
          <w:rFonts w:cstheme="minorHAnsi"/>
          <w:sz w:val="24"/>
          <w:szCs w:val="24"/>
        </w:rPr>
        <w:t xml:space="preserve">have been </w:t>
      </w:r>
      <w:r w:rsidR="00031EBE" w:rsidRPr="00143444">
        <w:rPr>
          <w:rFonts w:cstheme="minorHAnsi"/>
          <w:sz w:val="24"/>
          <w:szCs w:val="24"/>
        </w:rPr>
        <w:t>suggested as to which boroughs would most benefit from the Phase 2 targeted support funding</w:t>
      </w:r>
      <w:r w:rsidR="00432D5C">
        <w:rPr>
          <w:rFonts w:cstheme="minorHAnsi"/>
          <w:sz w:val="24"/>
          <w:szCs w:val="24"/>
        </w:rPr>
        <w:t xml:space="preserve"> programme</w:t>
      </w:r>
      <w:r w:rsidR="00031EBE" w:rsidRPr="00143444">
        <w:rPr>
          <w:rFonts w:cstheme="minorHAnsi"/>
          <w:sz w:val="24"/>
          <w:szCs w:val="24"/>
        </w:rPr>
        <w:t>. They are:</w:t>
      </w:r>
    </w:p>
    <w:p w14:paraId="092D9EE4" w14:textId="77777777" w:rsidR="00031EBE" w:rsidRPr="00AA2854" w:rsidRDefault="00031EBE" w:rsidP="00031EBE">
      <w:pPr>
        <w:rPr>
          <w:b/>
          <w:bCs/>
          <w:i/>
          <w:iCs/>
          <w:sz w:val="24"/>
          <w:szCs w:val="24"/>
        </w:rPr>
      </w:pPr>
      <w:r w:rsidRPr="00AA2854">
        <w:rPr>
          <w:b/>
          <w:bCs/>
          <w:i/>
          <w:iCs/>
          <w:sz w:val="24"/>
          <w:szCs w:val="24"/>
        </w:rPr>
        <w:t>Option 1: Target five boroughs</w:t>
      </w:r>
    </w:p>
    <w:p w14:paraId="36353F6F" w14:textId="77777777" w:rsidR="00031EBE" w:rsidRPr="0051559B" w:rsidRDefault="00031EBE" w:rsidP="00031EBE">
      <w:pPr>
        <w:pStyle w:val="ListParagraph"/>
        <w:numPr>
          <w:ilvl w:val="0"/>
          <w:numId w:val="1"/>
        </w:numPr>
        <w:rPr>
          <w:sz w:val="24"/>
          <w:szCs w:val="24"/>
        </w:rPr>
      </w:pPr>
      <w:r w:rsidRPr="0051559B">
        <w:rPr>
          <w:sz w:val="24"/>
          <w:szCs w:val="24"/>
        </w:rPr>
        <w:t>Barking and Dagenham (Ranked 1 on IMD/9.4% unemployment/52% BAME)</w:t>
      </w:r>
    </w:p>
    <w:p w14:paraId="33CF5E6A" w14:textId="77777777" w:rsidR="00031EBE" w:rsidRPr="0051559B" w:rsidRDefault="00031EBE" w:rsidP="00031EBE">
      <w:pPr>
        <w:pStyle w:val="ListParagraph"/>
        <w:numPr>
          <w:ilvl w:val="0"/>
          <w:numId w:val="1"/>
        </w:numPr>
        <w:rPr>
          <w:sz w:val="24"/>
          <w:szCs w:val="24"/>
        </w:rPr>
      </w:pPr>
      <w:r w:rsidRPr="0051559B">
        <w:rPr>
          <w:sz w:val="24"/>
          <w:szCs w:val="24"/>
        </w:rPr>
        <w:t>Newham (Ranked 3 on IMD/6.8% unemployment/73% BAME)</w:t>
      </w:r>
    </w:p>
    <w:p w14:paraId="3565E139" w14:textId="77777777" w:rsidR="00031EBE" w:rsidRPr="0051559B" w:rsidRDefault="00031EBE" w:rsidP="00031EBE">
      <w:pPr>
        <w:pStyle w:val="ListParagraph"/>
        <w:numPr>
          <w:ilvl w:val="0"/>
          <w:numId w:val="1"/>
        </w:numPr>
        <w:rPr>
          <w:sz w:val="24"/>
          <w:szCs w:val="24"/>
        </w:rPr>
      </w:pPr>
      <w:r w:rsidRPr="0051559B">
        <w:rPr>
          <w:sz w:val="24"/>
          <w:szCs w:val="24"/>
        </w:rPr>
        <w:t>Tower Hamlets (Ranked 5 on IMD/</w:t>
      </w:r>
      <w:r>
        <w:rPr>
          <w:sz w:val="24"/>
          <w:szCs w:val="24"/>
        </w:rPr>
        <w:t xml:space="preserve"> </w:t>
      </w:r>
      <w:r w:rsidRPr="0051559B">
        <w:rPr>
          <w:sz w:val="24"/>
          <w:szCs w:val="24"/>
        </w:rPr>
        <w:t>6.7% unemployment/54% BAME)</w:t>
      </w:r>
    </w:p>
    <w:p w14:paraId="207E23F2" w14:textId="77777777" w:rsidR="00031EBE" w:rsidRPr="0051559B" w:rsidRDefault="00031EBE" w:rsidP="00031EBE">
      <w:pPr>
        <w:pStyle w:val="ListParagraph"/>
        <w:numPr>
          <w:ilvl w:val="0"/>
          <w:numId w:val="1"/>
        </w:numPr>
        <w:rPr>
          <w:sz w:val="24"/>
          <w:szCs w:val="24"/>
        </w:rPr>
      </w:pPr>
      <w:r w:rsidRPr="0051559B">
        <w:rPr>
          <w:sz w:val="24"/>
          <w:szCs w:val="24"/>
        </w:rPr>
        <w:t>Waltham Forest (Ranked 12 IMD/unemployment rate of 8.7%/50% BAME)</w:t>
      </w:r>
    </w:p>
    <w:p w14:paraId="2235C565" w14:textId="77777777" w:rsidR="00031EBE" w:rsidRPr="0051559B" w:rsidRDefault="00031EBE" w:rsidP="00031EBE">
      <w:pPr>
        <w:pStyle w:val="ListParagraph"/>
        <w:numPr>
          <w:ilvl w:val="0"/>
          <w:numId w:val="1"/>
        </w:numPr>
        <w:rPr>
          <w:sz w:val="24"/>
          <w:szCs w:val="24"/>
        </w:rPr>
      </w:pPr>
      <w:r w:rsidRPr="0051559B">
        <w:rPr>
          <w:sz w:val="24"/>
          <w:szCs w:val="24"/>
        </w:rPr>
        <w:t>Brent (Ranked 10 IMD/unemployment rate of 7.6%/65% BAME)</w:t>
      </w:r>
    </w:p>
    <w:p w14:paraId="03E27C4D" w14:textId="77777777" w:rsidR="00031EBE" w:rsidRPr="00AA2854" w:rsidRDefault="00031EBE" w:rsidP="00031EBE">
      <w:pPr>
        <w:rPr>
          <w:b/>
          <w:bCs/>
          <w:i/>
          <w:iCs/>
          <w:sz w:val="24"/>
          <w:szCs w:val="24"/>
        </w:rPr>
      </w:pPr>
      <w:r w:rsidRPr="00AA2854">
        <w:rPr>
          <w:b/>
          <w:bCs/>
          <w:i/>
          <w:iCs/>
          <w:sz w:val="24"/>
          <w:szCs w:val="24"/>
        </w:rPr>
        <w:t>Option 2: Target seven boroughs</w:t>
      </w:r>
    </w:p>
    <w:p w14:paraId="22C749D3" w14:textId="77777777" w:rsidR="00031EBE" w:rsidRPr="0051559B" w:rsidRDefault="00031EBE" w:rsidP="00031EBE">
      <w:pPr>
        <w:pStyle w:val="ListParagraph"/>
        <w:numPr>
          <w:ilvl w:val="0"/>
          <w:numId w:val="2"/>
        </w:numPr>
        <w:rPr>
          <w:sz w:val="24"/>
          <w:szCs w:val="24"/>
        </w:rPr>
      </w:pPr>
      <w:r w:rsidRPr="0051559B">
        <w:rPr>
          <w:sz w:val="24"/>
          <w:szCs w:val="24"/>
        </w:rPr>
        <w:t>Barking and Dagenham (Ranked 1 on IMD/9.4% unemployment/52% BAME)</w:t>
      </w:r>
    </w:p>
    <w:p w14:paraId="5267F1CD" w14:textId="77777777" w:rsidR="00031EBE" w:rsidRPr="0051559B" w:rsidRDefault="00031EBE" w:rsidP="00031EBE">
      <w:pPr>
        <w:pStyle w:val="ListParagraph"/>
        <w:numPr>
          <w:ilvl w:val="0"/>
          <w:numId w:val="2"/>
        </w:numPr>
        <w:rPr>
          <w:sz w:val="24"/>
          <w:szCs w:val="24"/>
        </w:rPr>
      </w:pPr>
      <w:r w:rsidRPr="0051559B">
        <w:rPr>
          <w:sz w:val="24"/>
          <w:szCs w:val="24"/>
        </w:rPr>
        <w:t>Newham (Ranked 3 on IMD/6.8% unemployment/73% BAME)</w:t>
      </w:r>
    </w:p>
    <w:p w14:paraId="78B4309E" w14:textId="77777777" w:rsidR="00031EBE" w:rsidRPr="0051559B" w:rsidRDefault="00031EBE" w:rsidP="00031EBE">
      <w:pPr>
        <w:pStyle w:val="ListParagraph"/>
        <w:numPr>
          <w:ilvl w:val="0"/>
          <w:numId w:val="2"/>
        </w:numPr>
        <w:rPr>
          <w:sz w:val="24"/>
          <w:szCs w:val="24"/>
        </w:rPr>
      </w:pPr>
      <w:r w:rsidRPr="0051559B">
        <w:rPr>
          <w:sz w:val="24"/>
          <w:szCs w:val="24"/>
        </w:rPr>
        <w:t>Tower Hamlets (Ranked 5 on IMD/6.7% unemployment/54% BAME)</w:t>
      </w:r>
    </w:p>
    <w:p w14:paraId="33BA13DC" w14:textId="77777777" w:rsidR="00031EBE" w:rsidRPr="0051559B" w:rsidRDefault="00031EBE" w:rsidP="00031EBE">
      <w:pPr>
        <w:pStyle w:val="ListParagraph"/>
        <w:numPr>
          <w:ilvl w:val="0"/>
          <w:numId w:val="2"/>
        </w:numPr>
        <w:rPr>
          <w:sz w:val="24"/>
          <w:szCs w:val="24"/>
        </w:rPr>
      </w:pPr>
      <w:r w:rsidRPr="0051559B">
        <w:rPr>
          <w:sz w:val="24"/>
          <w:szCs w:val="24"/>
        </w:rPr>
        <w:t>Waltham Forest (Ranked 12 IMD/unemployment rate of 8.7%/50% BAME)</w:t>
      </w:r>
    </w:p>
    <w:p w14:paraId="0498BF82" w14:textId="77777777" w:rsidR="00031EBE" w:rsidRPr="0051559B" w:rsidRDefault="00031EBE" w:rsidP="00031EBE">
      <w:pPr>
        <w:pStyle w:val="ListParagraph"/>
        <w:numPr>
          <w:ilvl w:val="0"/>
          <w:numId w:val="2"/>
        </w:numPr>
        <w:rPr>
          <w:sz w:val="24"/>
          <w:szCs w:val="24"/>
        </w:rPr>
      </w:pPr>
      <w:r w:rsidRPr="0051559B">
        <w:rPr>
          <w:sz w:val="24"/>
          <w:szCs w:val="24"/>
        </w:rPr>
        <w:t>Brent (Ranked 10 IMD/unemployment rate of 7.6%/65% BAME)</w:t>
      </w:r>
    </w:p>
    <w:p w14:paraId="72F796DF" w14:textId="77777777" w:rsidR="00031EBE" w:rsidRPr="0051559B" w:rsidRDefault="00031EBE" w:rsidP="00031EBE">
      <w:pPr>
        <w:pStyle w:val="ListParagraph"/>
        <w:numPr>
          <w:ilvl w:val="0"/>
          <w:numId w:val="2"/>
        </w:numPr>
        <w:rPr>
          <w:sz w:val="24"/>
          <w:szCs w:val="24"/>
        </w:rPr>
      </w:pPr>
      <w:r w:rsidRPr="0051559B">
        <w:rPr>
          <w:sz w:val="24"/>
          <w:szCs w:val="24"/>
        </w:rPr>
        <w:t>Croydon (Ranked 15 IMD/unemployment rate of 7.8%/52% BAME)</w:t>
      </w:r>
    </w:p>
    <w:p w14:paraId="1F63CF24" w14:textId="77777777" w:rsidR="00031EBE" w:rsidRPr="0051559B" w:rsidRDefault="00031EBE" w:rsidP="00031EBE">
      <w:pPr>
        <w:pStyle w:val="ListParagraph"/>
        <w:numPr>
          <w:ilvl w:val="0"/>
          <w:numId w:val="2"/>
        </w:numPr>
        <w:rPr>
          <w:sz w:val="24"/>
          <w:szCs w:val="24"/>
        </w:rPr>
      </w:pPr>
      <w:r w:rsidRPr="0051559B">
        <w:rPr>
          <w:sz w:val="24"/>
          <w:szCs w:val="24"/>
        </w:rPr>
        <w:t>Hounslow (Ranked 18 IMD/unemployment rate of 7.6%/52% BAME)</w:t>
      </w:r>
    </w:p>
    <w:p w14:paraId="0AC0A701" w14:textId="61BF0087" w:rsidR="00E01899" w:rsidRPr="00DC337A" w:rsidRDefault="00E01899" w:rsidP="00E01899">
      <w:pPr>
        <w:rPr>
          <w:b/>
          <w:bCs/>
          <w:sz w:val="24"/>
          <w:szCs w:val="24"/>
        </w:rPr>
      </w:pPr>
      <w:r w:rsidRPr="00DC337A">
        <w:rPr>
          <w:b/>
          <w:bCs/>
          <w:sz w:val="24"/>
          <w:szCs w:val="24"/>
        </w:rPr>
        <w:lastRenderedPageBreak/>
        <w:t>Ta</w:t>
      </w:r>
      <w:r w:rsidR="00853AD4">
        <w:rPr>
          <w:b/>
          <w:bCs/>
          <w:sz w:val="24"/>
          <w:szCs w:val="24"/>
        </w:rPr>
        <w:t>b</w:t>
      </w:r>
      <w:r w:rsidRPr="00DC337A">
        <w:rPr>
          <w:b/>
          <w:bCs/>
          <w:sz w:val="24"/>
          <w:szCs w:val="24"/>
        </w:rPr>
        <w:t>le 1: Place-based priority areas for cons</w:t>
      </w:r>
      <w:r>
        <w:rPr>
          <w:b/>
          <w:bCs/>
          <w:sz w:val="24"/>
          <w:szCs w:val="24"/>
        </w:rPr>
        <w:t>i</w:t>
      </w:r>
      <w:r w:rsidRPr="00DC337A">
        <w:rPr>
          <w:b/>
          <w:bCs/>
          <w:sz w:val="24"/>
          <w:szCs w:val="24"/>
        </w:rPr>
        <w:t>deration</w:t>
      </w:r>
    </w:p>
    <w:tbl>
      <w:tblPr>
        <w:tblW w:w="9427" w:type="dxa"/>
        <w:tblLook w:val="04A0" w:firstRow="1" w:lastRow="0" w:firstColumn="1" w:lastColumn="0" w:noHBand="0" w:noVBand="1"/>
      </w:tblPr>
      <w:tblGrid>
        <w:gridCol w:w="1977"/>
        <w:gridCol w:w="3315"/>
        <w:gridCol w:w="2376"/>
        <w:gridCol w:w="25"/>
        <w:gridCol w:w="1734"/>
      </w:tblGrid>
      <w:tr w:rsidR="00E01899" w:rsidRPr="00A44E88" w14:paraId="413CD670" w14:textId="77777777" w:rsidTr="00C21DB6">
        <w:trPr>
          <w:trHeight w:val="527"/>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93AD" w14:textId="77777777" w:rsidR="00E01899" w:rsidRPr="00A44E88" w:rsidRDefault="00E01899" w:rsidP="00C21DB6">
            <w:pPr>
              <w:spacing w:after="0" w:line="240" w:lineRule="auto"/>
              <w:jc w:val="center"/>
              <w:rPr>
                <w:rFonts w:ascii="Calibri" w:eastAsia="Times New Roman" w:hAnsi="Calibri" w:cs="Calibri"/>
                <w:b/>
                <w:bCs/>
                <w:color w:val="000000"/>
                <w:lang w:eastAsia="en-GB"/>
              </w:rPr>
            </w:pPr>
            <w:r w:rsidRPr="00A44E88">
              <w:rPr>
                <w:rFonts w:ascii="Calibri" w:eastAsia="Times New Roman" w:hAnsi="Calibri" w:cs="Calibri"/>
                <w:b/>
                <w:bCs/>
                <w:color w:val="000000"/>
                <w:lang w:eastAsia="en-GB"/>
              </w:rPr>
              <w:t>BME pop (%)</w:t>
            </w:r>
          </w:p>
        </w:tc>
        <w:tc>
          <w:tcPr>
            <w:tcW w:w="3315" w:type="dxa"/>
            <w:tcBorders>
              <w:top w:val="single" w:sz="8" w:space="0" w:color="auto"/>
              <w:left w:val="single" w:sz="4" w:space="0" w:color="auto"/>
              <w:bottom w:val="nil"/>
              <w:right w:val="single" w:sz="4" w:space="0" w:color="auto"/>
            </w:tcBorders>
            <w:shd w:val="clear" w:color="auto" w:fill="auto"/>
            <w:vAlign w:val="center"/>
            <w:hideMark/>
          </w:tcPr>
          <w:p w14:paraId="1ED5242C" w14:textId="77777777" w:rsidR="00E01899" w:rsidRPr="00A44E88" w:rsidRDefault="00E01899" w:rsidP="00C21DB6">
            <w:pPr>
              <w:spacing w:after="0" w:line="240" w:lineRule="auto"/>
              <w:rPr>
                <w:rFonts w:ascii="Arial" w:eastAsia="Times New Roman" w:hAnsi="Arial" w:cs="Arial"/>
                <w:b/>
                <w:bCs/>
                <w:color w:val="000000"/>
                <w:sz w:val="20"/>
                <w:szCs w:val="20"/>
                <w:lang w:eastAsia="en-GB"/>
              </w:rPr>
            </w:pPr>
            <w:r w:rsidRPr="00A44E88">
              <w:rPr>
                <w:rFonts w:ascii="Arial" w:eastAsia="Times New Roman" w:hAnsi="Arial" w:cs="Arial"/>
                <w:b/>
                <w:bCs/>
                <w:color w:val="000000"/>
                <w:sz w:val="20"/>
                <w:szCs w:val="20"/>
                <w:lang w:eastAsia="en-GB"/>
              </w:rPr>
              <w:t>Local Authority District name (2019)</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7B08" w14:textId="77777777" w:rsidR="00E01899" w:rsidRPr="00A44E88" w:rsidRDefault="00E01899" w:rsidP="00C21DB6">
            <w:pPr>
              <w:spacing w:after="0" w:line="240" w:lineRule="auto"/>
              <w:rPr>
                <w:rFonts w:ascii="Calibri" w:eastAsia="Times New Roman" w:hAnsi="Calibri" w:cs="Calibri"/>
                <w:b/>
                <w:bCs/>
                <w:color w:val="000000"/>
                <w:lang w:eastAsia="en-GB"/>
              </w:rPr>
            </w:pPr>
            <w:r w:rsidRPr="00A44E88">
              <w:rPr>
                <w:rFonts w:ascii="Calibri" w:eastAsia="Times New Roman" w:hAnsi="Calibri" w:cs="Calibri"/>
                <w:b/>
                <w:bCs/>
                <w:color w:val="000000"/>
                <w:lang w:eastAsia="en-GB"/>
              </w:rPr>
              <w:t>Unemployment rate</w:t>
            </w:r>
            <w:r>
              <w:rPr>
                <w:rFonts w:ascii="Calibri" w:eastAsia="Times New Roman" w:hAnsi="Calibri" w:cs="Calibri"/>
                <w:b/>
                <w:bCs/>
                <w:color w:val="000000"/>
                <w:lang w:eastAsia="en-GB"/>
              </w:rPr>
              <w:t xml:space="preserve">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1D3F3" w14:textId="77777777" w:rsidR="00E01899" w:rsidRPr="00A44E88" w:rsidRDefault="00E01899" w:rsidP="00C21DB6">
            <w:pPr>
              <w:spacing w:after="0" w:line="240" w:lineRule="auto"/>
              <w:rPr>
                <w:rFonts w:ascii="Calibri" w:eastAsia="Times New Roman" w:hAnsi="Calibri" w:cs="Calibri"/>
                <w:b/>
                <w:bCs/>
                <w:color w:val="000000"/>
                <w:lang w:eastAsia="en-GB"/>
              </w:rPr>
            </w:pPr>
            <w:r w:rsidRPr="00A44E88">
              <w:rPr>
                <w:rFonts w:ascii="Calibri" w:eastAsia="Times New Roman" w:hAnsi="Calibri" w:cs="Calibri"/>
                <w:b/>
                <w:bCs/>
                <w:color w:val="000000"/>
                <w:lang w:eastAsia="en-GB"/>
              </w:rPr>
              <w:t>IMD ranking</w:t>
            </w:r>
          </w:p>
        </w:tc>
      </w:tr>
      <w:tr w:rsidR="00E01899" w:rsidRPr="00A44E88" w14:paraId="5D8F8599"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5343"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73</w:t>
            </w:r>
          </w:p>
        </w:tc>
        <w:tc>
          <w:tcPr>
            <w:tcW w:w="331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5B6239B" w14:textId="77777777" w:rsidR="00E01899" w:rsidRPr="00A44E88" w:rsidRDefault="00E01899" w:rsidP="00C21DB6">
            <w:pPr>
              <w:spacing w:after="0" w:line="240" w:lineRule="auto"/>
              <w:rPr>
                <w:rFonts w:ascii="Arial" w:eastAsia="Times New Roman" w:hAnsi="Arial" w:cs="Arial"/>
                <w:color w:val="000000"/>
                <w:sz w:val="20"/>
                <w:szCs w:val="20"/>
                <w:lang w:eastAsia="en-GB"/>
              </w:rPr>
            </w:pPr>
            <w:r w:rsidRPr="00A44E88">
              <w:rPr>
                <w:rFonts w:ascii="Arial" w:eastAsia="Times New Roman" w:hAnsi="Arial" w:cs="Arial"/>
                <w:color w:val="000000"/>
                <w:sz w:val="20"/>
                <w:szCs w:val="20"/>
                <w:lang w:eastAsia="en-GB"/>
              </w:rPr>
              <w:t>Newham</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0CB39"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6.8</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1225A"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3</w:t>
            </w:r>
          </w:p>
        </w:tc>
      </w:tr>
      <w:tr w:rsidR="00E01899" w:rsidRPr="00A44E88" w14:paraId="2ECB2C83"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338C"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65</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70976117" w14:textId="77777777" w:rsidR="00E01899" w:rsidRPr="00E21A37" w:rsidRDefault="00E01899" w:rsidP="00C21DB6">
            <w:pPr>
              <w:spacing w:after="0" w:line="240" w:lineRule="auto"/>
              <w:rPr>
                <w:rFonts w:ascii="Arial" w:eastAsia="Times New Roman" w:hAnsi="Arial" w:cs="Arial"/>
                <w:sz w:val="20"/>
                <w:szCs w:val="20"/>
                <w:lang w:eastAsia="en-GB"/>
              </w:rPr>
            </w:pPr>
            <w:r w:rsidRPr="00E21A37">
              <w:rPr>
                <w:rFonts w:ascii="Arial" w:eastAsia="Times New Roman" w:hAnsi="Arial" w:cs="Arial"/>
                <w:sz w:val="20"/>
                <w:szCs w:val="20"/>
                <w:lang w:eastAsia="en-GB"/>
              </w:rPr>
              <w:t>Brent</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AA62"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7.6</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97BB1"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10</w:t>
            </w:r>
          </w:p>
        </w:tc>
      </w:tr>
      <w:tr w:rsidR="00E01899" w:rsidRPr="00A44E88" w14:paraId="1985DCA9"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770E"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65</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591F2947" w14:textId="77777777" w:rsidR="00E01899" w:rsidRPr="00A44E88" w:rsidRDefault="00E01899" w:rsidP="00C21DB6">
            <w:pPr>
              <w:spacing w:after="0" w:line="240" w:lineRule="auto"/>
              <w:rPr>
                <w:rFonts w:ascii="Arial" w:eastAsia="Times New Roman" w:hAnsi="Arial" w:cs="Arial"/>
                <w:color w:val="000000"/>
                <w:sz w:val="20"/>
                <w:szCs w:val="20"/>
                <w:lang w:eastAsia="en-GB"/>
              </w:rPr>
            </w:pPr>
            <w:r w:rsidRPr="00A44E88">
              <w:rPr>
                <w:rFonts w:ascii="Arial" w:eastAsia="Times New Roman" w:hAnsi="Arial" w:cs="Arial"/>
                <w:color w:val="000000"/>
                <w:sz w:val="20"/>
                <w:szCs w:val="20"/>
                <w:lang w:eastAsia="en-GB"/>
              </w:rPr>
              <w:t>Redbridge</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76CA"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7</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CEFBD" w14:textId="77777777" w:rsidR="00E01899" w:rsidRPr="00A44E88"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p>
        </w:tc>
      </w:tr>
      <w:tr w:rsidR="00E01899" w:rsidRPr="00A44E88" w14:paraId="0D4BF703"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EFF4F"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63</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20455138" w14:textId="77777777" w:rsidR="00E01899" w:rsidRPr="00A44E88" w:rsidRDefault="00E01899" w:rsidP="00C21DB6">
            <w:pPr>
              <w:spacing w:after="0" w:line="240" w:lineRule="auto"/>
              <w:rPr>
                <w:rFonts w:ascii="Arial" w:eastAsia="Times New Roman" w:hAnsi="Arial" w:cs="Arial"/>
                <w:color w:val="000000"/>
                <w:sz w:val="20"/>
                <w:szCs w:val="20"/>
                <w:lang w:eastAsia="en-GB"/>
              </w:rPr>
            </w:pPr>
            <w:r w:rsidRPr="00A44E88">
              <w:rPr>
                <w:rFonts w:ascii="Arial" w:eastAsia="Times New Roman" w:hAnsi="Arial" w:cs="Arial"/>
                <w:color w:val="000000"/>
                <w:sz w:val="20"/>
                <w:szCs w:val="20"/>
                <w:lang w:eastAsia="en-GB"/>
              </w:rPr>
              <w:t>Harrow</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8AD1"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6.9</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339E" w14:textId="77777777" w:rsidR="00E01899" w:rsidRPr="00A44E88"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r>
      <w:tr w:rsidR="00E01899" w:rsidRPr="00A44E88" w14:paraId="05DAEA7C"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F3ED"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54</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344D89AA" w14:textId="77777777" w:rsidR="00E01899" w:rsidRPr="00A44E88" w:rsidRDefault="00E01899" w:rsidP="00C21DB6">
            <w:pPr>
              <w:spacing w:after="0" w:line="240" w:lineRule="auto"/>
              <w:rPr>
                <w:rFonts w:ascii="Arial" w:eastAsia="Times New Roman" w:hAnsi="Arial" w:cs="Arial"/>
                <w:color w:val="000000"/>
                <w:sz w:val="20"/>
                <w:szCs w:val="20"/>
                <w:lang w:eastAsia="en-GB"/>
              </w:rPr>
            </w:pPr>
            <w:r w:rsidRPr="00A44E88">
              <w:rPr>
                <w:rFonts w:ascii="Arial" w:eastAsia="Times New Roman" w:hAnsi="Arial" w:cs="Arial"/>
                <w:color w:val="000000"/>
                <w:sz w:val="20"/>
                <w:szCs w:val="20"/>
                <w:lang w:eastAsia="en-GB"/>
              </w:rPr>
              <w:t>Tower Hamlets</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70BF0"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6.7</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AD1D"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w:t>
            </w:r>
          </w:p>
        </w:tc>
      </w:tr>
      <w:tr w:rsidR="00E01899" w:rsidRPr="00A44E88" w14:paraId="196340F4"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4C52"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53</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6816C53F" w14:textId="77777777" w:rsidR="00E01899" w:rsidRPr="00A44E88" w:rsidRDefault="00E01899" w:rsidP="00C21DB6">
            <w:pPr>
              <w:spacing w:after="0" w:line="240" w:lineRule="auto"/>
              <w:rPr>
                <w:rFonts w:ascii="Arial" w:eastAsia="Times New Roman" w:hAnsi="Arial" w:cs="Arial"/>
                <w:color w:val="000000"/>
                <w:sz w:val="20"/>
                <w:szCs w:val="20"/>
                <w:lang w:eastAsia="en-GB"/>
              </w:rPr>
            </w:pPr>
            <w:r w:rsidRPr="00A44E88">
              <w:rPr>
                <w:rFonts w:ascii="Arial" w:eastAsia="Times New Roman" w:hAnsi="Arial" w:cs="Arial"/>
                <w:color w:val="000000"/>
                <w:sz w:val="20"/>
                <w:szCs w:val="20"/>
                <w:lang w:eastAsia="en-GB"/>
              </w:rPr>
              <w:t>Ealing</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EB76"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7</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E515" w14:textId="77777777" w:rsidR="00E01899" w:rsidRPr="00A44E88"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r>
      <w:tr w:rsidR="00E01899" w:rsidRPr="00A44E88" w14:paraId="57397384"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A0D1"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52</w:t>
            </w:r>
          </w:p>
        </w:tc>
        <w:tc>
          <w:tcPr>
            <w:tcW w:w="3315" w:type="dxa"/>
            <w:tcBorders>
              <w:top w:val="nil"/>
              <w:left w:val="single" w:sz="4" w:space="0" w:color="auto"/>
              <w:bottom w:val="single" w:sz="4" w:space="0" w:color="auto"/>
              <w:right w:val="single" w:sz="4" w:space="0" w:color="auto"/>
            </w:tcBorders>
            <w:shd w:val="clear" w:color="auto" w:fill="auto"/>
            <w:noWrap/>
            <w:vAlign w:val="center"/>
            <w:hideMark/>
          </w:tcPr>
          <w:p w14:paraId="4589330A" w14:textId="77777777" w:rsidR="00E01899" w:rsidRPr="00E21A37" w:rsidRDefault="00E01899" w:rsidP="00C21DB6">
            <w:pPr>
              <w:spacing w:after="0" w:line="240" w:lineRule="auto"/>
              <w:rPr>
                <w:rFonts w:ascii="Arial" w:eastAsia="Times New Roman" w:hAnsi="Arial" w:cs="Arial"/>
                <w:sz w:val="20"/>
                <w:szCs w:val="20"/>
                <w:lang w:eastAsia="en-GB"/>
              </w:rPr>
            </w:pPr>
            <w:r w:rsidRPr="00E21A37">
              <w:rPr>
                <w:rFonts w:ascii="Arial" w:eastAsia="Times New Roman" w:hAnsi="Arial" w:cs="Arial"/>
                <w:sz w:val="20"/>
                <w:szCs w:val="20"/>
                <w:lang w:eastAsia="en-GB"/>
              </w:rPr>
              <w:t>Barking and Dagenham</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7DA8E"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9.4</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83DDA"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1</w:t>
            </w:r>
          </w:p>
        </w:tc>
      </w:tr>
      <w:tr w:rsidR="00E01899" w:rsidRPr="00A44E88" w14:paraId="04F5A1C7"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165F2"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52</w:t>
            </w:r>
          </w:p>
        </w:tc>
        <w:tc>
          <w:tcPr>
            <w:tcW w:w="331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080D7F9" w14:textId="77777777" w:rsidR="00E01899" w:rsidRPr="00E21A37" w:rsidRDefault="00E01899" w:rsidP="00C21DB6">
            <w:pPr>
              <w:spacing w:after="0" w:line="240" w:lineRule="auto"/>
              <w:rPr>
                <w:rFonts w:ascii="Arial" w:eastAsia="Times New Roman" w:hAnsi="Arial" w:cs="Arial"/>
                <w:sz w:val="20"/>
                <w:szCs w:val="20"/>
                <w:lang w:eastAsia="en-GB"/>
              </w:rPr>
            </w:pPr>
            <w:r w:rsidRPr="00E21A37">
              <w:rPr>
                <w:rFonts w:ascii="Arial" w:eastAsia="Times New Roman" w:hAnsi="Arial" w:cs="Arial"/>
                <w:sz w:val="20"/>
                <w:szCs w:val="20"/>
                <w:lang w:eastAsia="en-GB"/>
              </w:rPr>
              <w:t>Croydon</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23E0"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7.8</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3FF6" w14:textId="77777777" w:rsidR="00E01899" w:rsidRPr="00A44E88" w:rsidRDefault="00E01899" w:rsidP="00C21DB6">
            <w:pPr>
              <w:spacing w:after="0" w:line="240" w:lineRule="auto"/>
              <w:jc w:val="center"/>
              <w:rPr>
                <w:rFonts w:ascii="Calibri" w:eastAsia="Times New Roman" w:hAnsi="Calibri" w:cs="Calibri"/>
                <w:color w:val="FF0000"/>
                <w:lang w:eastAsia="en-GB"/>
              </w:rPr>
            </w:pPr>
            <w:r w:rsidRPr="00963959">
              <w:rPr>
                <w:rFonts w:ascii="Calibri" w:eastAsia="Times New Roman" w:hAnsi="Calibri" w:cs="Calibri"/>
                <w:lang w:eastAsia="en-GB"/>
              </w:rPr>
              <w:t>15</w:t>
            </w:r>
          </w:p>
        </w:tc>
      </w:tr>
      <w:tr w:rsidR="00E01899" w:rsidRPr="00A44E88" w14:paraId="275909A0"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07DD"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52</w:t>
            </w:r>
          </w:p>
        </w:tc>
        <w:tc>
          <w:tcPr>
            <w:tcW w:w="3315" w:type="dxa"/>
            <w:tcBorders>
              <w:top w:val="nil"/>
              <w:left w:val="single" w:sz="4" w:space="0" w:color="auto"/>
              <w:bottom w:val="single" w:sz="8" w:space="0" w:color="auto"/>
              <w:right w:val="single" w:sz="4" w:space="0" w:color="auto"/>
            </w:tcBorders>
            <w:shd w:val="clear" w:color="auto" w:fill="auto"/>
            <w:noWrap/>
            <w:vAlign w:val="center"/>
            <w:hideMark/>
          </w:tcPr>
          <w:p w14:paraId="25D68872" w14:textId="77777777" w:rsidR="00E01899" w:rsidRPr="00E21A37" w:rsidRDefault="00E01899" w:rsidP="00C21DB6">
            <w:pPr>
              <w:spacing w:after="0" w:line="240" w:lineRule="auto"/>
              <w:rPr>
                <w:rFonts w:ascii="Arial" w:eastAsia="Times New Roman" w:hAnsi="Arial" w:cs="Arial"/>
                <w:sz w:val="20"/>
                <w:szCs w:val="20"/>
                <w:lang w:eastAsia="en-GB"/>
              </w:rPr>
            </w:pPr>
            <w:r w:rsidRPr="00E21A37">
              <w:rPr>
                <w:rFonts w:ascii="Arial" w:eastAsia="Times New Roman" w:hAnsi="Arial" w:cs="Arial"/>
                <w:sz w:val="20"/>
                <w:szCs w:val="20"/>
                <w:lang w:eastAsia="en-GB"/>
              </w:rPr>
              <w:t>Hounslow</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4B1E"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7.6</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77F3C" w14:textId="77777777" w:rsidR="00E01899" w:rsidRPr="00A44E88" w:rsidRDefault="00E01899" w:rsidP="00C21DB6">
            <w:pPr>
              <w:spacing w:after="0" w:line="240" w:lineRule="auto"/>
              <w:jc w:val="center"/>
              <w:rPr>
                <w:rFonts w:ascii="Calibri" w:eastAsia="Times New Roman" w:hAnsi="Calibri" w:cs="Calibri"/>
                <w:color w:val="FF0000"/>
                <w:lang w:eastAsia="en-GB"/>
              </w:rPr>
            </w:pPr>
            <w:r w:rsidRPr="00963959">
              <w:rPr>
                <w:rFonts w:ascii="Calibri" w:eastAsia="Times New Roman" w:hAnsi="Calibri" w:cs="Calibri"/>
                <w:lang w:eastAsia="en-GB"/>
              </w:rPr>
              <w:t>18</w:t>
            </w:r>
          </w:p>
        </w:tc>
      </w:tr>
      <w:tr w:rsidR="00E01899" w:rsidRPr="00A44E88" w14:paraId="771ACE90"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2F719" w14:textId="77777777" w:rsidR="00E01899" w:rsidRPr="00A44E88" w:rsidRDefault="00E01899" w:rsidP="00C21DB6">
            <w:pPr>
              <w:spacing w:after="0" w:line="240" w:lineRule="auto"/>
              <w:jc w:val="center"/>
              <w:rPr>
                <w:rFonts w:ascii="Calibri" w:eastAsia="Times New Roman" w:hAnsi="Calibri" w:cs="Calibri"/>
                <w:color w:val="000000"/>
                <w:lang w:eastAsia="en-GB"/>
              </w:rPr>
            </w:pPr>
            <w:r w:rsidRPr="00A44E88">
              <w:rPr>
                <w:rFonts w:ascii="Calibri" w:eastAsia="Times New Roman" w:hAnsi="Calibri" w:cs="Calibri"/>
                <w:color w:val="000000"/>
                <w:lang w:eastAsia="en-GB"/>
              </w:rPr>
              <w:t>50</w:t>
            </w:r>
          </w:p>
        </w:tc>
        <w:tc>
          <w:tcPr>
            <w:tcW w:w="3315" w:type="dxa"/>
            <w:tcBorders>
              <w:top w:val="nil"/>
              <w:left w:val="single" w:sz="4" w:space="0" w:color="auto"/>
              <w:bottom w:val="single" w:sz="4" w:space="0" w:color="auto"/>
              <w:right w:val="single" w:sz="4" w:space="0" w:color="auto"/>
            </w:tcBorders>
            <w:shd w:val="clear" w:color="auto" w:fill="auto"/>
            <w:noWrap/>
            <w:vAlign w:val="center"/>
            <w:hideMark/>
          </w:tcPr>
          <w:p w14:paraId="415E47DC" w14:textId="77777777" w:rsidR="00E01899" w:rsidRPr="00E21A37" w:rsidRDefault="00E01899" w:rsidP="00C21DB6">
            <w:pPr>
              <w:spacing w:after="0" w:line="240" w:lineRule="auto"/>
              <w:rPr>
                <w:rFonts w:ascii="Arial" w:eastAsia="Times New Roman" w:hAnsi="Arial" w:cs="Arial"/>
                <w:sz w:val="20"/>
                <w:szCs w:val="20"/>
                <w:lang w:eastAsia="en-GB"/>
              </w:rPr>
            </w:pPr>
            <w:r w:rsidRPr="00E21A37">
              <w:rPr>
                <w:rFonts w:ascii="Arial" w:eastAsia="Times New Roman" w:hAnsi="Arial" w:cs="Arial"/>
                <w:sz w:val="20"/>
                <w:szCs w:val="20"/>
                <w:lang w:eastAsia="en-GB"/>
              </w:rPr>
              <w:t>Waltham Forest</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78B3A" w14:textId="77777777" w:rsidR="00E01899" w:rsidRPr="00E21A37" w:rsidRDefault="00E01899" w:rsidP="00C21DB6">
            <w:pPr>
              <w:spacing w:after="0" w:line="240" w:lineRule="auto"/>
              <w:jc w:val="center"/>
              <w:rPr>
                <w:rFonts w:ascii="Calibri" w:eastAsia="Times New Roman" w:hAnsi="Calibri" w:cs="Calibri"/>
                <w:lang w:eastAsia="en-GB"/>
              </w:rPr>
            </w:pPr>
            <w:r w:rsidRPr="00E21A37">
              <w:rPr>
                <w:rFonts w:ascii="Calibri" w:eastAsia="Times New Roman" w:hAnsi="Calibri" w:cs="Calibri"/>
                <w:lang w:eastAsia="en-GB"/>
              </w:rPr>
              <w:t>8.7</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514C7" w14:textId="77777777" w:rsidR="00E01899" w:rsidRPr="00A44E88" w:rsidRDefault="00E01899" w:rsidP="00C21DB6">
            <w:pPr>
              <w:spacing w:after="0" w:line="240" w:lineRule="auto"/>
              <w:jc w:val="center"/>
              <w:rPr>
                <w:rFonts w:ascii="Calibri" w:eastAsia="Times New Roman" w:hAnsi="Calibri" w:cs="Calibri"/>
                <w:color w:val="FF0000"/>
                <w:lang w:eastAsia="en-GB"/>
              </w:rPr>
            </w:pPr>
            <w:r w:rsidRPr="00963959">
              <w:rPr>
                <w:rFonts w:ascii="Calibri" w:eastAsia="Times New Roman" w:hAnsi="Calibri" w:cs="Calibri"/>
                <w:lang w:eastAsia="en-GB"/>
              </w:rPr>
              <w:t>12</w:t>
            </w:r>
          </w:p>
        </w:tc>
      </w:tr>
      <w:tr w:rsidR="00E01899" w:rsidRPr="00A44E88" w14:paraId="1568E2B4" w14:textId="77777777" w:rsidTr="00C21DB6">
        <w:trPr>
          <w:trHeight w:val="331"/>
        </w:trPr>
        <w:tc>
          <w:tcPr>
            <w:tcW w:w="94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A7353F6" w14:textId="77777777" w:rsidR="00E01899" w:rsidRPr="00AA2854" w:rsidRDefault="00E01899" w:rsidP="00C21DB6">
            <w:pPr>
              <w:spacing w:after="0" w:line="240" w:lineRule="auto"/>
              <w:jc w:val="center"/>
              <w:rPr>
                <w:rFonts w:ascii="Calibri" w:eastAsia="Times New Roman" w:hAnsi="Calibri" w:cs="Calibri"/>
                <w:b/>
                <w:bCs/>
                <w:color w:val="000000"/>
                <w:lang w:eastAsia="en-GB"/>
              </w:rPr>
            </w:pPr>
            <w:r w:rsidRPr="00AA2854">
              <w:rPr>
                <w:rFonts w:ascii="Arial" w:eastAsia="Times New Roman" w:hAnsi="Arial" w:cs="Arial"/>
                <w:b/>
                <w:bCs/>
                <w:sz w:val="20"/>
                <w:szCs w:val="20"/>
                <w:lang w:eastAsia="en-GB"/>
              </w:rPr>
              <w:t>Borough BME profiles that are &lt;50% threshold.</w:t>
            </w:r>
          </w:p>
        </w:tc>
      </w:tr>
      <w:tr w:rsidR="00E01899" w:rsidRPr="008A7BDD" w14:paraId="15E4B05A"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E12A" w14:textId="77777777" w:rsidR="00E01899" w:rsidRPr="008A7BDD" w:rsidRDefault="00E01899" w:rsidP="00C21DB6">
            <w:pPr>
              <w:spacing w:after="0" w:line="240" w:lineRule="auto"/>
              <w:jc w:val="center"/>
              <w:rPr>
                <w:rFonts w:ascii="Calibri" w:eastAsia="Times New Roman" w:hAnsi="Calibri" w:cs="Calibri"/>
                <w:color w:val="000000"/>
                <w:lang w:eastAsia="en-GB"/>
              </w:rPr>
            </w:pPr>
            <w:r w:rsidRPr="008A7BDD">
              <w:rPr>
                <w:rFonts w:ascii="Calibri" w:eastAsia="Times New Roman" w:hAnsi="Calibri" w:cs="Calibri"/>
                <w:color w:val="000000"/>
                <w:lang w:eastAsia="en-GB"/>
              </w:rPr>
              <w:t>43</w:t>
            </w:r>
          </w:p>
        </w:tc>
        <w:tc>
          <w:tcPr>
            <w:tcW w:w="3315" w:type="dxa"/>
            <w:tcBorders>
              <w:top w:val="single" w:sz="4" w:space="0" w:color="auto"/>
              <w:left w:val="nil"/>
              <w:bottom w:val="single" w:sz="4" w:space="0" w:color="auto"/>
              <w:right w:val="single" w:sz="4" w:space="0" w:color="auto"/>
            </w:tcBorders>
            <w:shd w:val="clear" w:color="auto" w:fill="auto"/>
            <w:noWrap/>
            <w:vAlign w:val="center"/>
            <w:hideMark/>
          </w:tcPr>
          <w:p w14:paraId="3C43F6ED" w14:textId="77777777" w:rsidR="00E01899" w:rsidRPr="003B5822" w:rsidRDefault="00E01899" w:rsidP="00C21DB6">
            <w:pPr>
              <w:spacing w:after="0" w:line="240" w:lineRule="auto"/>
              <w:rPr>
                <w:rFonts w:ascii="Arial" w:eastAsia="Times New Roman" w:hAnsi="Arial" w:cs="Arial"/>
                <w:sz w:val="20"/>
                <w:szCs w:val="20"/>
                <w:lang w:eastAsia="en-GB"/>
              </w:rPr>
            </w:pPr>
            <w:r w:rsidRPr="003B5822">
              <w:rPr>
                <w:rFonts w:ascii="Arial" w:eastAsia="Times New Roman" w:hAnsi="Arial" w:cs="Arial"/>
                <w:sz w:val="20"/>
                <w:szCs w:val="20"/>
                <w:lang w:eastAsia="en-GB"/>
              </w:rPr>
              <w:t>Hackney</w:t>
            </w:r>
          </w:p>
        </w:tc>
        <w:tc>
          <w:tcPr>
            <w:tcW w:w="24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64C6E1" w14:textId="77777777" w:rsidR="00E01899" w:rsidRPr="003B5822" w:rsidRDefault="00E01899" w:rsidP="00C21DB6">
            <w:pPr>
              <w:spacing w:after="0" w:line="240" w:lineRule="auto"/>
              <w:jc w:val="center"/>
              <w:rPr>
                <w:rFonts w:ascii="Calibri" w:eastAsia="Times New Roman" w:hAnsi="Calibri" w:cs="Calibri"/>
                <w:lang w:eastAsia="en-GB"/>
              </w:rPr>
            </w:pPr>
            <w:r w:rsidRPr="003B5822">
              <w:rPr>
                <w:rFonts w:ascii="Calibri" w:eastAsia="Times New Roman" w:hAnsi="Calibri" w:cs="Calibri"/>
                <w:lang w:eastAsia="en-GB"/>
              </w:rPr>
              <w:t>6.1</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332E64FB" w14:textId="77777777" w:rsidR="00E01899" w:rsidRPr="008A7BDD" w:rsidRDefault="00E01899" w:rsidP="00C21DB6">
            <w:pPr>
              <w:spacing w:after="0" w:line="240" w:lineRule="auto"/>
              <w:jc w:val="center"/>
              <w:rPr>
                <w:rFonts w:ascii="Calibri" w:eastAsia="Times New Roman" w:hAnsi="Calibri" w:cs="Calibri"/>
                <w:color w:val="000000"/>
                <w:lang w:eastAsia="en-GB"/>
              </w:rPr>
            </w:pPr>
            <w:r w:rsidRPr="008A7BDD">
              <w:rPr>
                <w:rFonts w:ascii="Calibri" w:eastAsia="Times New Roman" w:hAnsi="Calibri" w:cs="Calibri"/>
                <w:color w:val="000000"/>
                <w:lang w:eastAsia="en-GB"/>
              </w:rPr>
              <w:t>2</w:t>
            </w:r>
          </w:p>
        </w:tc>
      </w:tr>
      <w:tr w:rsidR="00E01899" w:rsidRPr="008A7BDD" w14:paraId="7EDC8303"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24E5" w14:textId="77777777" w:rsidR="00E01899" w:rsidRPr="008A7BDD" w:rsidRDefault="00E01899" w:rsidP="00C21DB6">
            <w:pPr>
              <w:spacing w:after="0" w:line="240" w:lineRule="auto"/>
              <w:jc w:val="center"/>
              <w:rPr>
                <w:rFonts w:ascii="Calibri" w:eastAsia="Times New Roman" w:hAnsi="Calibri" w:cs="Calibri"/>
                <w:color w:val="000000"/>
                <w:lang w:eastAsia="en-GB"/>
              </w:rPr>
            </w:pPr>
            <w:r w:rsidRPr="008A7BDD">
              <w:rPr>
                <w:rFonts w:ascii="Calibri" w:eastAsia="Times New Roman" w:hAnsi="Calibri" w:cs="Calibri"/>
                <w:color w:val="000000"/>
                <w:lang w:eastAsia="en-GB"/>
              </w:rPr>
              <w:t>43</w:t>
            </w:r>
          </w:p>
        </w:tc>
        <w:tc>
          <w:tcPr>
            <w:tcW w:w="3315" w:type="dxa"/>
            <w:tcBorders>
              <w:top w:val="single" w:sz="4" w:space="0" w:color="auto"/>
              <w:left w:val="nil"/>
              <w:bottom w:val="single" w:sz="4" w:space="0" w:color="auto"/>
              <w:right w:val="single" w:sz="4" w:space="0" w:color="auto"/>
            </w:tcBorders>
            <w:shd w:val="clear" w:color="auto" w:fill="auto"/>
            <w:noWrap/>
            <w:vAlign w:val="center"/>
            <w:hideMark/>
          </w:tcPr>
          <w:p w14:paraId="2DEA2183" w14:textId="77777777" w:rsidR="00E01899" w:rsidRPr="003B5822" w:rsidRDefault="00E01899" w:rsidP="00C21DB6">
            <w:pPr>
              <w:spacing w:after="0" w:line="240" w:lineRule="auto"/>
              <w:rPr>
                <w:rFonts w:ascii="Arial" w:eastAsia="Times New Roman" w:hAnsi="Arial" w:cs="Arial"/>
                <w:sz w:val="20"/>
                <w:szCs w:val="20"/>
                <w:lang w:eastAsia="en-GB"/>
              </w:rPr>
            </w:pPr>
            <w:r w:rsidRPr="003B5822">
              <w:rPr>
                <w:rFonts w:ascii="Arial" w:eastAsia="Times New Roman" w:hAnsi="Arial" w:cs="Arial"/>
                <w:sz w:val="20"/>
                <w:szCs w:val="20"/>
                <w:lang w:eastAsia="en-GB"/>
              </w:rPr>
              <w:t>Enfield</w:t>
            </w:r>
          </w:p>
        </w:tc>
        <w:tc>
          <w:tcPr>
            <w:tcW w:w="24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145A8A" w14:textId="77777777" w:rsidR="00E01899" w:rsidRPr="003B5822" w:rsidRDefault="00E01899" w:rsidP="00C21DB6">
            <w:pPr>
              <w:spacing w:after="0" w:line="240" w:lineRule="auto"/>
              <w:jc w:val="center"/>
              <w:rPr>
                <w:rFonts w:ascii="Calibri" w:eastAsia="Times New Roman" w:hAnsi="Calibri" w:cs="Calibri"/>
                <w:lang w:eastAsia="en-GB"/>
              </w:rPr>
            </w:pPr>
            <w:r w:rsidRPr="003B5822">
              <w:rPr>
                <w:rFonts w:ascii="Calibri" w:eastAsia="Times New Roman" w:hAnsi="Calibri" w:cs="Calibri"/>
                <w:lang w:eastAsia="en-GB"/>
              </w:rPr>
              <w:t>7.8</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49E204BC" w14:textId="77777777" w:rsidR="00E01899" w:rsidRPr="008A7BDD"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E01899" w:rsidRPr="008A7BDD" w14:paraId="14D95296"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0306" w14:textId="77777777" w:rsidR="00E01899" w:rsidRPr="008A7BDD" w:rsidRDefault="00E01899" w:rsidP="00C21DB6">
            <w:pPr>
              <w:spacing w:after="0" w:line="240" w:lineRule="auto"/>
              <w:jc w:val="center"/>
              <w:rPr>
                <w:rFonts w:ascii="Calibri" w:eastAsia="Times New Roman" w:hAnsi="Calibri" w:cs="Calibri"/>
                <w:color w:val="000000"/>
                <w:lang w:eastAsia="en-GB"/>
              </w:rPr>
            </w:pPr>
            <w:r w:rsidRPr="00E3196C">
              <w:rPr>
                <w:rFonts w:ascii="Calibri" w:eastAsia="Times New Roman" w:hAnsi="Calibri" w:cs="Calibri"/>
                <w:color w:val="000000"/>
                <w:lang w:eastAsia="en-GB"/>
              </w:rPr>
              <w:t>38</w:t>
            </w:r>
          </w:p>
        </w:tc>
        <w:tc>
          <w:tcPr>
            <w:tcW w:w="3315" w:type="dxa"/>
            <w:tcBorders>
              <w:top w:val="single" w:sz="4" w:space="0" w:color="auto"/>
              <w:left w:val="nil"/>
              <w:bottom w:val="single" w:sz="4" w:space="0" w:color="auto"/>
              <w:right w:val="single" w:sz="4" w:space="0" w:color="auto"/>
            </w:tcBorders>
            <w:shd w:val="clear" w:color="auto" w:fill="auto"/>
            <w:noWrap/>
            <w:vAlign w:val="center"/>
          </w:tcPr>
          <w:p w14:paraId="11CFDD9E" w14:textId="77777777" w:rsidR="00E01899" w:rsidRPr="003B5822" w:rsidRDefault="00E01899" w:rsidP="00C21DB6">
            <w:pPr>
              <w:spacing w:after="0" w:line="240" w:lineRule="auto"/>
              <w:rPr>
                <w:rFonts w:ascii="Arial" w:eastAsia="Times New Roman" w:hAnsi="Arial" w:cs="Arial"/>
                <w:sz w:val="20"/>
                <w:szCs w:val="20"/>
                <w:lang w:eastAsia="en-GB"/>
              </w:rPr>
            </w:pPr>
            <w:r w:rsidRPr="003B5822">
              <w:rPr>
                <w:rFonts w:ascii="Arial" w:eastAsia="Times New Roman" w:hAnsi="Arial" w:cs="Arial"/>
                <w:sz w:val="20"/>
                <w:szCs w:val="20"/>
                <w:lang w:eastAsia="en-GB"/>
              </w:rPr>
              <w:t>Haringey</w:t>
            </w:r>
          </w:p>
        </w:tc>
        <w:tc>
          <w:tcPr>
            <w:tcW w:w="2401" w:type="dxa"/>
            <w:gridSpan w:val="2"/>
            <w:tcBorders>
              <w:top w:val="single" w:sz="4" w:space="0" w:color="auto"/>
              <w:left w:val="nil"/>
              <w:bottom w:val="single" w:sz="4" w:space="0" w:color="auto"/>
              <w:right w:val="single" w:sz="4" w:space="0" w:color="auto"/>
            </w:tcBorders>
            <w:shd w:val="clear" w:color="auto" w:fill="auto"/>
            <w:noWrap/>
            <w:vAlign w:val="bottom"/>
          </w:tcPr>
          <w:p w14:paraId="6E75A12E" w14:textId="77777777" w:rsidR="00E01899" w:rsidRPr="003B5822" w:rsidRDefault="00E01899" w:rsidP="00C21DB6">
            <w:pPr>
              <w:spacing w:after="0" w:line="240" w:lineRule="auto"/>
              <w:jc w:val="center"/>
              <w:rPr>
                <w:rFonts w:ascii="Calibri" w:eastAsia="Times New Roman" w:hAnsi="Calibri" w:cs="Calibri"/>
                <w:lang w:eastAsia="en-GB"/>
              </w:rPr>
            </w:pPr>
            <w:r w:rsidRPr="003B5822">
              <w:rPr>
                <w:rFonts w:ascii="Calibri" w:eastAsia="Times New Roman" w:hAnsi="Calibri" w:cs="Calibri"/>
                <w:lang w:eastAsia="en-GB"/>
              </w:rPr>
              <w:t>7</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31B5570D" w14:textId="77777777" w:rsidR="00E01899" w:rsidRPr="008A7BDD"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E01899" w:rsidRPr="008A7BDD" w14:paraId="04FBD169" w14:textId="77777777" w:rsidTr="00C21DB6">
        <w:trPr>
          <w:trHeight w:val="331"/>
        </w:trPr>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1F531" w14:textId="77777777" w:rsidR="00E01899" w:rsidRPr="00E3196C"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3315" w:type="dxa"/>
            <w:tcBorders>
              <w:top w:val="single" w:sz="4" w:space="0" w:color="auto"/>
              <w:left w:val="nil"/>
              <w:bottom w:val="single" w:sz="4" w:space="0" w:color="auto"/>
              <w:right w:val="single" w:sz="4" w:space="0" w:color="auto"/>
            </w:tcBorders>
            <w:shd w:val="clear" w:color="auto" w:fill="auto"/>
            <w:noWrap/>
            <w:vAlign w:val="center"/>
          </w:tcPr>
          <w:p w14:paraId="2D685B8D" w14:textId="77777777" w:rsidR="00E01899" w:rsidRPr="003B5822" w:rsidRDefault="00E01899" w:rsidP="00C21DB6">
            <w:pPr>
              <w:spacing w:after="0" w:line="240" w:lineRule="auto"/>
              <w:rPr>
                <w:rFonts w:ascii="Arial" w:eastAsia="Times New Roman" w:hAnsi="Arial" w:cs="Arial"/>
                <w:sz w:val="20"/>
                <w:szCs w:val="20"/>
                <w:lang w:eastAsia="en-GB"/>
              </w:rPr>
            </w:pPr>
            <w:r w:rsidRPr="003B5822">
              <w:rPr>
                <w:rFonts w:ascii="Arial" w:eastAsia="Times New Roman" w:hAnsi="Arial" w:cs="Arial"/>
                <w:sz w:val="20"/>
                <w:szCs w:val="20"/>
                <w:lang w:eastAsia="en-GB"/>
              </w:rPr>
              <w:t>Southwark</w:t>
            </w:r>
          </w:p>
        </w:tc>
        <w:tc>
          <w:tcPr>
            <w:tcW w:w="2401" w:type="dxa"/>
            <w:gridSpan w:val="2"/>
            <w:tcBorders>
              <w:top w:val="single" w:sz="4" w:space="0" w:color="auto"/>
              <w:left w:val="nil"/>
              <w:bottom w:val="single" w:sz="4" w:space="0" w:color="auto"/>
              <w:right w:val="single" w:sz="4" w:space="0" w:color="auto"/>
            </w:tcBorders>
            <w:shd w:val="clear" w:color="auto" w:fill="auto"/>
            <w:noWrap/>
            <w:vAlign w:val="bottom"/>
          </w:tcPr>
          <w:p w14:paraId="178D08B7" w14:textId="77777777" w:rsidR="00E01899" w:rsidRPr="003B5822" w:rsidRDefault="00E01899" w:rsidP="00C21DB6">
            <w:pPr>
              <w:spacing w:after="0" w:line="240" w:lineRule="auto"/>
              <w:jc w:val="center"/>
              <w:rPr>
                <w:rFonts w:ascii="Calibri" w:eastAsia="Times New Roman" w:hAnsi="Calibri" w:cs="Calibri"/>
                <w:lang w:eastAsia="en-GB"/>
              </w:rPr>
            </w:pPr>
            <w:r w:rsidRPr="003B5822">
              <w:rPr>
                <w:rFonts w:ascii="Calibri" w:eastAsia="Times New Roman" w:hAnsi="Calibri" w:cs="Calibri"/>
                <w:lang w:eastAsia="en-GB"/>
              </w:rPr>
              <w:t>6.3</w:t>
            </w:r>
          </w:p>
        </w:tc>
        <w:tc>
          <w:tcPr>
            <w:tcW w:w="1732" w:type="dxa"/>
            <w:tcBorders>
              <w:top w:val="single" w:sz="4" w:space="0" w:color="auto"/>
              <w:left w:val="nil"/>
              <w:bottom w:val="single" w:sz="4" w:space="0" w:color="auto"/>
              <w:right w:val="single" w:sz="4" w:space="0" w:color="auto"/>
            </w:tcBorders>
            <w:shd w:val="clear" w:color="auto" w:fill="auto"/>
            <w:noWrap/>
            <w:vAlign w:val="bottom"/>
          </w:tcPr>
          <w:p w14:paraId="18941BD1" w14:textId="77777777" w:rsidR="00E01899" w:rsidRDefault="00E01899" w:rsidP="00C21DB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r>
    </w:tbl>
    <w:p w14:paraId="14A54D2C" w14:textId="77777777" w:rsidR="001308E4" w:rsidRDefault="001308E4" w:rsidP="00031EBE">
      <w:pPr>
        <w:rPr>
          <w:sz w:val="24"/>
          <w:szCs w:val="24"/>
        </w:rPr>
      </w:pPr>
    </w:p>
    <w:p w14:paraId="0FFD508C" w14:textId="1668C7C5" w:rsidR="00113CBB" w:rsidRPr="00113CBB" w:rsidRDefault="00113CBB" w:rsidP="008B1CA5">
      <w:pPr>
        <w:rPr>
          <w:b/>
          <w:bCs/>
          <w:sz w:val="24"/>
          <w:szCs w:val="24"/>
        </w:rPr>
      </w:pPr>
      <w:r w:rsidRPr="00113CBB">
        <w:rPr>
          <w:b/>
          <w:bCs/>
          <w:sz w:val="24"/>
          <w:szCs w:val="24"/>
        </w:rPr>
        <w:t>Conclu</w:t>
      </w:r>
      <w:r w:rsidR="00962F77">
        <w:rPr>
          <w:b/>
          <w:bCs/>
          <w:sz w:val="24"/>
          <w:szCs w:val="24"/>
        </w:rPr>
        <w:t>sion and recomm</w:t>
      </w:r>
      <w:r w:rsidR="000F707C">
        <w:rPr>
          <w:b/>
          <w:bCs/>
          <w:sz w:val="24"/>
          <w:szCs w:val="24"/>
        </w:rPr>
        <w:t>e</w:t>
      </w:r>
      <w:r w:rsidR="00962F77">
        <w:rPr>
          <w:b/>
          <w:bCs/>
          <w:sz w:val="24"/>
          <w:szCs w:val="24"/>
        </w:rPr>
        <w:t>ndations</w:t>
      </w:r>
    </w:p>
    <w:p w14:paraId="0AB0D7C1" w14:textId="67ED2FAB" w:rsidR="008B1CA5" w:rsidRDefault="008B1CA5" w:rsidP="008B1CA5">
      <w:pPr>
        <w:rPr>
          <w:sz w:val="24"/>
          <w:szCs w:val="24"/>
        </w:rPr>
      </w:pPr>
      <w:r>
        <w:rPr>
          <w:sz w:val="24"/>
          <w:szCs w:val="24"/>
        </w:rPr>
        <w:t>If resources permit, Option 2 provides a wider capture and opportunity to spread the benefit across seven boroughs whose BME population is at or above 50% and above the median. This approach would enable at least 2 programmes per borough as a minimum whereas Option 1 could mean that, out of an approximate 20 -25 organisations that could be funded, if chosen, each borough would have up to five programmes. If boroughs do not have effective providers of employment, e</w:t>
      </w:r>
      <w:r w:rsidR="00DF7A9D">
        <w:rPr>
          <w:sz w:val="24"/>
          <w:szCs w:val="24"/>
        </w:rPr>
        <w:t xml:space="preserve">nterprise </w:t>
      </w:r>
      <w:r>
        <w:rPr>
          <w:sz w:val="24"/>
          <w:szCs w:val="24"/>
        </w:rPr>
        <w:t>and financial health opportunities, this will invariably impact on service support and therefore change in the social conditions the approach is striving to address may be minimal or ineffectual.</w:t>
      </w:r>
    </w:p>
    <w:p w14:paraId="7EB57C64" w14:textId="5E66F909" w:rsidR="00853AD4" w:rsidRDefault="003036C1" w:rsidP="006E03DF">
      <w:pPr>
        <w:rPr>
          <w:sz w:val="24"/>
          <w:szCs w:val="24"/>
        </w:rPr>
      </w:pPr>
      <w:r w:rsidRPr="0032579C">
        <w:rPr>
          <w:sz w:val="24"/>
          <w:szCs w:val="24"/>
        </w:rPr>
        <w:t xml:space="preserve">Finally, </w:t>
      </w:r>
      <w:r w:rsidR="00C3574D" w:rsidRPr="0032579C">
        <w:rPr>
          <w:sz w:val="24"/>
          <w:szCs w:val="24"/>
        </w:rPr>
        <w:t xml:space="preserve">some critical risks that will need to be considered </w:t>
      </w:r>
      <w:r w:rsidR="001417DD" w:rsidRPr="0032579C">
        <w:rPr>
          <w:sz w:val="24"/>
          <w:szCs w:val="24"/>
        </w:rPr>
        <w:t xml:space="preserve">in going forward as </w:t>
      </w:r>
      <w:r w:rsidR="00897FD1" w:rsidRPr="0032579C">
        <w:rPr>
          <w:sz w:val="24"/>
          <w:szCs w:val="24"/>
        </w:rPr>
        <w:t xml:space="preserve">a </w:t>
      </w:r>
      <w:r w:rsidR="001417DD" w:rsidRPr="0032579C">
        <w:rPr>
          <w:sz w:val="24"/>
          <w:szCs w:val="24"/>
        </w:rPr>
        <w:t xml:space="preserve">place-based </w:t>
      </w:r>
      <w:r w:rsidR="00897FD1" w:rsidRPr="0032579C">
        <w:rPr>
          <w:sz w:val="24"/>
          <w:szCs w:val="24"/>
        </w:rPr>
        <w:t xml:space="preserve">investment approach, and they are just the tip of the </w:t>
      </w:r>
      <w:r w:rsidR="0061305C" w:rsidRPr="0032579C">
        <w:rPr>
          <w:sz w:val="24"/>
          <w:szCs w:val="24"/>
        </w:rPr>
        <w:t>challenges that lie ahead</w:t>
      </w:r>
      <w:r w:rsidR="004573EE" w:rsidRPr="0032579C">
        <w:rPr>
          <w:sz w:val="24"/>
          <w:szCs w:val="24"/>
        </w:rPr>
        <w:t>, i</w:t>
      </w:r>
      <w:r w:rsidR="0061305C" w:rsidRPr="0032579C">
        <w:rPr>
          <w:sz w:val="24"/>
          <w:szCs w:val="24"/>
        </w:rPr>
        <w:t>ncluding</w:t>
      </w:r>
      <w:r w:rsidR="004573EE" w:rsidRPr="0032579C">
        <w:rPr>
          <w:sz w:val="24"/>
          <w:szCs w:val="24"/>
        </w:rPr>
        <w:t xml:space="preserve"> how to measure and report on impact, for example. </w:t>
      </w:r>
      <w:r w:rsidR="0001201C" w:rsidRPr="0032579C">
        <w:rPr>
          <w:sz w:val="24"/>
          <w:szCs w:val="24"/>
        </w:rPr>
        <w:t>The below examples</w:t>
      </w:r>
      <w:r w:rsidR="00CD7435" w:rsidRPr="0032579C">
        <w:rPr>
          <w:sz w:val="24"/>
          <w:szCs w:val="24"/>
        </w:rPr>
        <w:t xml:space="preserve"> offer an approach that will need to be built on</w:t>
      </w:r>
      <w:r w:rsidR="00515B74" w:rsidRPr="0032579C">
        <w:rPr>
          <w:sz w:val="24"/>
          <w:szCs w:val="24"/>
        </w:rPr>
        <w:t>.</w:t>
      </w:r>
    </w:p>
    <w:p w14:paraId="197612E1" w14:textId="77777777" w:rsidR="00853AD4" w:rsidRPr="0032579C" w:rsidRDefault="00853AD4" w:rsidP="006E03DF">
      <w:pPr>
        <w:rPr>
          <w:sz w:val="24"/>
          <w:szCs w:val="24"/>
        </w:rPr>
      </w:pPr>
    </w:p>
    <w:tbl>
      <w:tblPr>
        <w:tblStyle w:val="TableGrid"/>
        <w:tblW w:w="9344" w:type="dxa"/>
        <w:tblLook w:val="04A0" w:firstRow="1" w:lastRow="0" w:firstColumn="1" w:lastColumn="0" w:noHBand="0" w:noVBand="1"/>
      </w:tblPr>
      <w:tblGrid>
        <w:gridCol w:w="3527"/>
        <w:gridCol w:w="5817"/>
      </w:tblGrid>
      <w:tr w:rsidR="00DF26B2" w:rsidRPr="00AA2854" w14:paraId="0692E002" w14:textId="77777777" w:rsidTr="00DF26B2">
        <w:trPr>
          <w:trHeight w:val="114"/>
        </w:trPr>
        <w:tc>
          <w:tcPr>
            <w:tcW w:w="3527" w:type="dxa"/>
            <w:shd w:val="clear" w:color="auto" w:fill="BFBFBF" w:themeFill="background1" w:themeFillShade="BF"/>
          </w:tcPr>
          <w:p w14:paraId="331DEAF3" w14:textId="4E9BB897" w:rsidR="00DF26B2" w:rsidRPr="00AA2854" w:rsidRDefault="00DF26B2" w:rsidP="00DF26B2">
            <w:pPr>
              <w:jc w:val="center"/>
              <w:rPr>
                <w:b/>
                <w:bCs/>
              </w:rPr>
            </w:pPr>
            <w:r w:rsidRPr="00AA2854">
              <w:rPr>
                <w:b/>
                <w:bCs/>
              </w:rPr>
              <w:t>Risk</w:t>
            </w:r>
          </w:p>
        </w:tc>
        <w:tc>
          <w:tcPr>
            <w:tcW w:w="5817" w:type="dxa"/>
            <w:shd w:val="clear" w:color="auto" w:fill="BFBFBF" w:themeFill="background1" w:themeFillShade="BF"/>
          </w:tcPr>
          <w:p w14:paraId="1DCB4239" w14:textId="607DC34F" w:rsidR="00DF26B2" w:rsidRPr="00AA2854" w:rsidRDefault="00DF26B2" w:rsidP="00DF26B2">
            <w:pPr>
              <w:jc w:val="center"/>
              <w:rPr>
                <w:b/>
                <w:bCs/>
              </w:rPr>
            </w:pPr>
            <w:r w:rsidRPr="00AA2854">
              <w:rPr>
                <w:b/>
                <w:bCs/>
              </w:rPr>
              <w:t>Mitigation</w:t>
            </w:r>
          </w:p>
        </w:tc>
      </w:tr>
      <w:tr w:rsidR="00DF26B2" w:rsidRPr="00AA2854" w14:paraId="25F372D3" w14:textId="77777777" w:rsidTr="00DF26B2">
        <w:trPr>
          <w:trHeight w:val="1168"/>
        </w:trPr>
        <w:tc>
          <w:tcPr>
            <w:tcW w:w="3527" w:type="dxa"/>
          </w:tcPr>
          <w:p w14:paraId="54A748DB" w14:textId="0C03AF56" w:rsidR="00DF26B2" w:rsidRPr="00AA2854" w:rsidRDefault="00DF26B2" w:rsidP="005B716E">
            <w:r w:rsidRPr="00AA2854">
              <w:t xml:space="preserve">Place based approaches take time, and as such, a reasonable time-scale over which to deliver the programme. </w:t>
            </w:r>
          </w:p>
          <w:p w14:paraId="4BA84FA5" w14:textId="77777777" w:rsidR="00DF26B2" w:rsidRPr="00AA2854" w:rsidRDefault="00DF26B2" w:rsidP="00743D5A"/>
        </w:tc>
        <w:tc>
          <w:tcPr>
            <w:tcW w:w="5817" w:type="dxa"/>
          </w:tcPr>
          <w:p w14:paraId="354F375C" w14:textId="06834211" w:rsidR="00DF26B2" w:rsidRPr="00AA2854" w:rsidRDefault="00DF26B2" w:rsidP="00A709B4">
            <w:r w:rsidRPr="00AA2854">
              <w:t xml:space="preserve">Relationships are critical. To better understand the area of investigation by building relationships and engagement processes directed by evidence based research and studies. </w:t>
            </w:r>
          </w:p>
          <w:p w14:paraId="2FDF89C9" w14:textId="77777777" w:rsidR="00DF26B2" w:rsidRPr="00AA2854" w:rsidRDefault="00DF26B2" w:rsidP="00743D5A"/>
          <w:p w14:paraId="13043926" w14:textId="18E01156" w:rsidR="00DF26B2" w:rsidRPr="00AA2854" w:rsidRDefault="00DF26B2" w:rsidP="00743D5A">
            <w:r w:rsidRPr="00AA2854">
              <w:lastRenderedPageBreak/>
              <w:t>This includes building effective relationships with partners as well as being aware of relationships locally and how presence might affect the relationship..</w:t>
            </w:r>
          </w:p>
        </w:tc>
      </w:tr>
      <w:tr w:rsidR="00DF26B2" w:rsidRPr="00AA2854" w14:paraId="213926A9" w14:textId="77777777" w:rsidTr="00DF26B2">
        <w:trPr>
          <w:trHeight w:val="578"/>
        </w:trPr>
        <w:tc>
          <w:tcPr>
            <w:tcW w:w="3527" w:type="dxa"/>
          </w:tcPr>
          <w:p w14:paraId="7CBF42C2" w14:textId="4BDBC266" w:rsidR="00DF26B2" w:rsidRPr="00AA2854" w:rsidRDefault="00DF26B2" w:rsidP="006E03DF">
            <w:r w:rsidRPr="00AA2854">
              <w:lastRenderedPageBreak/>
              <w:t xml:space="preserve">Inability to define role and rationale within the partnership. </w:t>
            </w:r>
          </w:p>
          <w:p w14:paraId="0788CB44" w14:textId="77777777" w:rsidR="00DF26B2" w:rsidRPr="00AA2854" w:rsidRDefault="00DF26B2" w:rsidP="00743D5A"/>
        </w:tc>
        <w:tc>
          <w:tcPr>
            <w:tcW w:w="5817" w:type="dxa"/>
          </w:tcPr>
          <w:p w14:paraId="1CC47200" w14:textId="77777777" w:rsidR="00DF26B2" w:rsidRPr="00AA2854" w:rsidRDefault="00DF26B2" w:rsidP="00320774">
            <w:r w:rsidRPr="00AA2854">
              <w:t xml:space="preserve">Clarity of the focus of concerns in order to be realistic about what can be achieved: what will be offered and its fit within a wider strategic landscape. </w:t>
            </w:r>
          </w:p>
          <w:p w14:paraId="00C37FD2" w14:textId="77777777" w:rsidR="00DF26B2" w:rsidRPr="00AA2854" w:rsidRDefault="00DF26B2" w:rsidP="00320774"/>
          <w:p w14:paraId="25EAB58A" w14:textId="27C9C8BF" w:rsidR="00DF26B2" w:rsidRPr="00AA2854" w:rsidRDefault="00DF26B2" w:rsidP="00A709B4"/>
        </w:tc>
      </w:tr>
      <w:tr w:rsidR="00DF26B2" w:rsidRPr="00AA2854" w14:paraId="6C391135" w14:textId="77777777" w:rsidTr="00DF26B2">
        <w:trPr>
          <w:trHeight w:val="349"/>
        </w:trPr>
        <w:tc>
          <w:tcPr>
            <w:tcW w:w="3527" w:type="dxa"/>
          </w:tcPr>
          <w:p w14:paraId="288CD6AC" w14:textId="0E91DD81" w:rsidR="00DF26B2" w:rsidRPr="00AA2854" w:rsidRDefault="00DF26B2" w:rsidP="00743D5A">
            <w:r w:rsidRPr="00AA2854">
              <w:t>Lack of clarity in defining</w:t>
            </w:r>
            <w:r w:rsidRPr="00AA2854">
              <w:rPr>
                <w:b/>
                <w:bCs/>
              </w:rPr>
              <w:t xml:space="preserve"> </w:t>
            </w:r>
            <w:r w:rsidRPr="00AA2854">
              <w:t>place and scale in relation to employment, enterprise and financial health support</w:t>
            </w:r>
          </w:p>
        </w:tc>
        <w:tc>
          <w:tcPr>
            <w:tcW w:w="5817" w:type="dxa"/>
          </w:tcPr>
          <w:p w14:paraId="3E143D95" w14:textId="72AD6554" w:rsidR="00DF26B2" w:rsidRPr="00AA2854" w:rsidRDefault="00DF26B2" w:rsidP="00743D5A">
            <w:r w:rsidRPr="00AA2854">
              <w:t>Capacity and ability to work at different levels in order to link the very local with the wider system within which practice</w:t>
            </w:r>
            <w:r w:rsidR="00AA2854">
              <w:t>s</w:t>
            </w:r>
            <w:r w:rsidRPr="00AA2854">
              <w:t xml:space="preserve"> takes place (i.e. which borough and the nature of the partners who will be able to support the operation at the local and regional level?). </w:t>
            </w:r>
          </w:p>
        </w:tc>
      </w:tr>
    </w:tbl>
    <w:p w14:paraId="43097121" w14:textId="79E63D7E" w:rsidR="00AC4E82" w:rsidRPr="00AA2854" w:rsidRDefault="00AC4E82" w:rsidP="00743D5A"/>
    <w:p w14:paraId="6167DF1D" w14:textId="7D07495A" w:rsidR="006E03DF" w:rsidRPr="00AA2854" w:rsidRDefault="006E03DF"/>
    <w:p w14:paraId="1B95F5E9" w14:textId="77777777" w:rsidR="009F6C7F" w:rsidRDefault="009F6C7F"/>
    <w:p w14:paraId="621CCA4E" w14:textId="40C707AA" w:rsidR="00F72805" w:rsidRDefault="00F72805">
      <w:pPr>
        <w:rPr>
          <w:b/>
          <w:bCs/>
          <w:u w:val="single"/>
        </w:rPr>
      </w:pPr>
      <w:r w:rsidRPr="00F72805">
        <w:rPr>
          <w:b/>
          <w:bCs/>
          <w:u w:val="single"/>
        </w:rPr>
        <w:t>Karl Murray</w:t>
      </w:r>
    </w:p>
    <w:p w14:paraId="2ACC280B" w14:textId="52A6F664" w:rsidR="00F72805" w:rsidRDefault="00F72805">
      <w:r>
        <w:t>14 February 2022</w:t>
      </w:r>
    </w:p>
    <w:sectPr w:rsidR="00F728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38B6" w14:textId="77777777" w:rsidR="00345F70" w:rsidRDefault="00345F70" w:rsidP="00EE6B5D">
      <w:pPr>
        <w:spacing w:after="0" w:line="240" w:lineRule="auto"/>
      </w:pPr>
      <w:r>
        <w:separator/>
      </w:r>
    </w:p>
  </w:endnote>
  <w:endnote w:type="continuationSeparator" w:id="0">
    <w:p w14:paraId="1BDF2606" w14:textId="77777777" w:rsidR="00345F70" w:rsidRDefault="00345F70" w:rsidP="00E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39870"/>
      <w:docPartObj>
        <w:docPartGallery w:val="Page Numbers (Bottom of Page)"/>
        <w:docPartUnique/>
      </w:docPartObj>
    </w:sdtPr>
    <w:sdtEndPr>
      <w:rPr>
        <w:noProof/>
      </w:rPr>
    </w:sdtEndPr>
    <w:sdtContent>
      <w:p w14:paraId="385E4AE6" w14:textId="14251093" w:rsidR="007E7C7A" w:rsidRDefault="007E7C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70F76" w14:textId="77777777" w:rsidR="007E7C7A" w:rsidRDefault="007E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7CAE" w14:textId="77777777" w:rsidR="00345F70" w:rsidRDefault="00345F70" w:rsidP="00EE6B5D">
      <w:pPr>
        <w:spacing w:after="0" w:line="240" w:lineRule="auto"/>
      </w:pPr>
      <w:r>
        <w:separator/>
      </w:r>
    </w:p>
  </w:footnote>
  <w:footnote w:type="continuationSeparator" w:id="0">
    <w:p w14:paraId="75F6BBDD" w14:textId="77777777" w:rsidR="00345F70" w:rsidRDefault="00345F70" w:rsidP="00EE6B5D">
      <w:pPr>
        <w:spacing w:after="0" w:line="240" w:lineRule="auto"/>
      </w:pPr>
      <w:r>
        <w:continuationSeparator/>
      </w:r>
    </w:p>
  </w:footnote>
  <w:footnote w:id="1">
    <w:p w14:paraId="52058D2F" w14:textId="77777777" w:rsidR="00465860" w:rsidRPr="00A80598" w:rsidRDefault="00465860" w:rsidP="00F72805">
      <w:pPr>
        <w:shd w:val="clear" w:color="auto" w:fill="FFFFFF"/>
        <w:spacing w:after="300" w:line="240" w:lineRule="auto"/>
        <w:outlineLvl w:val="2"/>
        <w:rPr>
          <w:sz w:val="20"/>
          <w:szCs w:val="20"/>
        </w:rPr>
      </w:pPr>
      <w:r w:rsidRPr="00A80598">
        <w:rPr>
          <w:rStyle w:val="FootnoteReference"/>
          <w:sz w:val="20"/>
          <w:szCs w:val="20"/>
        </w:rPr>
        <w:footnoteRef/>
      </w:r>
      <w:r w:rsidRPr="00A80598">
        <w:rPr>
          <w:sz w:val="20"/>
          <w:szCs w:val="20"/>
        </w:rPr>
        <w:t xml:space="preserve"> Anheier, H. K. and Leat, D. (2006), Creative philanthropy: Towards a new philanthropy for the 21st century, London: Routledge.</w:t>
      </w:r>
    </w:p>
  </w:footnote>
  <w:footnote w:id="2">
    <w:p w14:paraId="3A0629D4" w14:textId="77777777" w:rsidR="00465860" w:rsidRPr="00A80598" w:rsidRDefault="00465860" w:rsidP="00F72805">
      <w:pPr>
        <w:shd w:val="clear" w:color="auto" w:fill="FFFFFF"/>
        <w:spacing w:after="300" w:line="240" w:lineRule="auto"/>
        <w:outlineLvl w:val="2"/>
        <w:rPr>
          <w:sz w:val="20"/>
          <w:szCs w:val="20"/>
        </w:rPr>
      </w:pPr>
      <w:r w:rsidRPr="00A80598">
        <w:rPr>
          <w:rStyle w:val="FootnoteReference"/>
          <w:sz w:val="20"/>
          <w:szCs w:val="20"/>
        </w:rPr>
        <w:footnoteRef/>
      </w:r>
      <w:r w:rsidRPr="00A80598">
        <w:rPr>
          <w:sz w:val="20"/>
          <w:szCs w:val="20"/>
        </w:rPr>
        <w:t xml:space="preserve"> Association for the Study and Development of Community (2007), Scope, scale and sustainability: What it takes to create lasting community change, Maryland: ASDC Atkinson, R. and Carmichael.</w:t>
      </w:r>
    </w:p>
  </w:footnote>
  <w:footnote w:id="3">
    <w:p w14:paraId="197F771F" w14:textId="77777777" w:rsidR="00465860" w:rsidRPr="00A80598" w:rsidRDefault="00465860" w:rsidP="00465860">
      <w:pPr>
        <w:shd w:val="clear" w:color="auto" w:fill="FFFFFF"/>
        <w:spacing w:after="300" w:line="240" w:lineRule="auto"/>
        <w:outlineLvl w:val="2"/>
        <w:rPr>
          <w:rFonts w:eastAsia="Times New Roman" w:cstheme="minorHAnsi"/>
          <w:color w:val="0B0C0C"/>
          <w:sz w:val="20"/>
          <w:szCs w:val="20"/>
          <w:lang w:eastAsia="en-GB"/>
        </w:rPr>
      </w:pPr>
      <w:r w:rsidRPr="00A80598">
        <w:rPr>
          <w:rStyle w:val="FootnoteReference"/>
          <w:sz w:val="20"/>
          <w:szCs w:val="20"/>
        </w:rPr>
        <w:footnoteRef/>
      </w:r>
      <w:r w:rsidRPr="00A80598">
        <w:rPr>
          <w:sz w:val="20"/>
          <w:szCs w:val="20"/>
        </w:rPr>
        <w:t xml:space="preserve"> </w:t>
      </w:r>
      <w:r w:rsidRPr="00A80598">
        <w:rPr>
          <w:rFonts w:eastAsia="Times New Roman" w:cstheme="minorHAnsi"/>
          <w:color w:val="0B0C0C"/>
          <w:sz w:val="20"/>
          <w:szCs w:val="20"/>
          <w:lang w:eastAsia="en-GB"/>
        </w:rPr>
        <w:t>Lankelly Chase (2017), Historical review of placed based approaches</w:t>
      </w:r>
      <w:r>
        <w:rPr>
          <w:rFonts w:eastAsia="Times New Roman" w:cstheme="minorHAnsi"/>
          <w:color w:val="0B0C0C"/>
          <w:sz w:val="20"/>
          <w:szCs w:val="20"/>
          <w:lang w:eastAsia="en-GB"/>
        </w:rPr>
        <w:t>.</w:t>
      </w:r>
    </w:p>
  </w:footnote>
  <w:footnote w:id="4">
    <w:p w14:paraId="3BFE7EEF" w14:textId="0B5BC851" w:rsidR="00AC49F7" w:rsidRDefault="00AC49F7" w:rsidP="00AC49F7">
      <w:pPr>
        <w:pStyle w:val="FootnoteText"/>
      </w:pPr>
      <w:r>
        <w:rPr>
          <w:rStyle w:val="FootnoteReference"/>
        </w:rPr>
        <w:footnoteRef/>
      </w:r>
      <w:r>
        <w:t xml:space="preserve"> </w:t>
      </w:r>
      <w:hyperlink r:id="rId1" w:history="1">
        <w:r w:rsidR="00383DC1">
          <w:rPr>
            <w:rStyle w:val="Hyperlink"/>
          </w:rPr>
          <w:t>VRU to invest £6m to put communities at heart of tackling violence | London City Hall</w:t>
        </w:r>
      </w:hyperlink>
    </w:p>
  </w:footnote>
  <w:footnote w:id="5">
    <w:p w14:paraId="3B074663" w14:textId="0587FFE5" w:rsidR="008E37E7" w:rsidRDefault="008E37E7">
      <w:pPr>
        <w:pStyle w:val="FootnoteText"/>
      </w:pPr>
      <w:r>
        <w:rPr>
          <w:rStyle w:val="FootnoteReference"/>
        </w:rPr>
        <w:footnoteRef/>
      </w:r>
      <w:r>
        <w:t xml:space="preserve"> </w:t>
      </w:r>
      <w:hyperlink r:id="rId2" w:history="1">
        <w:r w:rsidR="00071C83">
          <w:rPr>
            <w:rStyle w:val="Hyperlink"/>
          </w:rPr>
          <w:t>LSL-SRHS_2019-24_Statistical-appendix (2020).pdf</w:t>
        </w:r>
      </w:hyperlink>
    </w:p>
  </w:footnote>
  <w:footnote w:id="6">
    <w:p w14:paraId="628BEB5E" w14:textId="77777777" w:rsidR="00C21A0F" w:rsidRPr="00A80598" w:rsidRDefault="00C21A0F" w:rsidP="00C21A0F">
      <w:pPr>
        <w:spacing w:line="240" w:lineRule="auto"/>
        <w:rPr>
          <w:rFonts w:eastAsia="Times New Roman" w:cstheme="minorHAnsi"/>
          <w:b/>
          <w:bCs/>
          <w:color w:val="0B0C0C"/>
          <w:sz w:val="20"/>
          <w:szCs w:val="20"/>
          <w:lang w:eastAsia="en-GB"/>
        </w:rPr>
      </w:pPr>
      <w:r w:rsidRPr="00A80598">
        <w:rPr>
          <w:rStyle w:val="FootnoteReference"/>
          <w:sz w:val="20"/>
          <w:szCs w:val="20"/>
        </w:rPr>
        <w:footnoteRef/>
      </w:r>
      <w:r w:rsidRPr="00A80598">
        <w:rPr>
          <w:sz w:val="20"/>
          <w:szCs w:val="20"/>
        </w:rPr>
        <w:t xml:space="preserve"> </w:t>
      </w:r>
      <w:r w:rsidRPr="00A80598">
        <w:rPr>
          <w:rFonts w:eastAsia="Times New Roman" w:cstheme="minorHAnsi"/>
          <w:sz w:val="20"/>
          <w:szCs w:val="20"/>
          <w:lang w:eastAsia="en-GB"/>
        </w:rPr>
        <w:t>Hitch</w:t>
      </w:r>
      <w:r>
        <w:rPr>
          <w:rFonts w:eastAsia="Times New Roman" w:cstheme="minorHAnsi"/>
          <w:sz w:val="20"/>
          <w:szCs w:val="20"/>
          <w:lang w:eastAsia="en-GB"/>
        </w:rPr>
        <w:t>i</w:t>
      </w:r>
      <w:r w:rsidRPr="00A80598">
        <w:rPr>
          <w:rFonts w:eastAsia="Times New Roman" w:cstheme="minorHAnsi"/>
          <w:sz w:val="20"/>
          <w:szCs w:val="20"/>
          <w:lang w:eastAsia="en-GB"/>
        </w:rPr>
        <w:t>n, J (2021),</w:t>
      </w:r>
      <w:r w:rsidRPr="00A80598">
        <w:rPr>
          <w:sz w:val="20"/>
          <w:szCs w:val="20"/>
        </w:rPr>
        <w:t xml:space="preserve"> What next for ‘place’ in the capital’s funding landscape? An essay for London Funders on Place-Based Funding in London; </w:t>
      </w:r>
      <w:r w:rsidRPr="00A80598">
        <w:rPr>
          <w:rFonts w:cstheme="minorHAnsi"/>
          <w:spacing w:val="2"/>
          <w:sz w:val="20"/>
          <w:szCs w:val="20"/>
        </w:rPr>
        <w:t>Renaisi, for London Funders.</w:t>
      </w:r>
    </w:p>
  </w:footnote>
  <w:footnote w:id="7">
    <w:p w14:paraId="604BE8F5" w14:textId="17BCC864" w:rsidR="00787D0A" w:rsidRDefault="00787D0A">
      <w:pPr>
        <w:pStyle w:val="FootnoteText"/>
      </w:pPr>
      <w:r>
        <w:rPr>
          <w:rStyle w:val="FootnoteReference"/>
        </w:rPr>
        <w:footnoteRef/>
      </w:r>
      <w:r>
        <w:t xml:space="preserve"> </w:t>
      </w:r>
      <w:r w:rsidR="00B12E6E">
        <w:t>Sanglin-Grant, S (200</w:t>
      </w:r>
      <w:r w:rsidR="00237576">
        <w:t>5</w:t>
      </w:r>
      <w:r w:rsidR="00B12E6E">
        <w:t xml:space="preserve">), </w:t>
      </w:r>
      <w:r w:rsidR="00B12E6E" w:rsidRPr="00F87E2D">
        <w:rPr>
          <w:i/>
          <w:iCs/>
        </w:rPr>
        <w:t>The Sp</w:t>
      </w:r>
      <w:r w:rsidR="008E2D61" w:rsidRPr="00F87E2D">
        <w:rPr>
          <w:i/>
          <w:iCs/>
        </w:rPr>
        <w:t>a</w:t>
      </w:r>
      <w:r w:rsidR="00B12E6E" w:rsidRPr="00F87E2D">
        <w:rPr>
          <w:i/>
          <w:iCs/>
        </w:rPr>
        <w:t xml:space="preserve">ce between: from rhetoric to </w:t>
      </w:r>
      <w:r w:rsidR="008E2D61" w:rsidRPr="00F87E2D">
        <w:rPr>
          <w:i/>
          <w:iCs/>
        </w:rPr>
        <w:t>reality on race equality in the workplace</w:t>
      </w:r>
      <w:r w:rsidR="008E2D61">
        <w:t>, The Runnymede Trust,</w:t>
      </w:r>
    </w:p>
  </w:footnote>
  <w:footnote w:id="8">
    <w:p w14:paraId="27AB2B27" w14:textId="79DA8154" w:rsidR="00A51C58" w:rsidRPr="000B16F5" w:rsidRDefault="00A51C58" w:rsidP="000B16F5">
      <w:pPr>
        <w:rPr>
          <w:rFonts w:cstheme="minorHAnsi"/>
          <w:sz w:val="20"/>
          <w:szCs w:val="20"/>
        </w:rPr>
      </w:pPr>
      <w:r w:rsidRPr="000B16F5">
        <w:rPr>
          <w:rStyle w:val="FootnoteReference"/>
          <w:sz w:val="20"/>
          <w:szCs w:val="20"/>
        </w:rPr>
        <w:footnoteRef/>
      </w:r>
      <w:r w:rsidRPr="000B16F5">
        <w:rPr>
          <w:sz w:val="20"/>
          <w:szCs w:val="20"/>
        </w:rPr>
        <w:t xml:space="preserve"> </w:t>
      </w:r>
      <w:r w:rsidR="000B16F5" w:rsidRPr="000B16F5">
        <w:rPr>
          <w:rFonts w:cstheme="minorHAnsi"/>
          <w:sz w:val="20"/>
          <w:szCs w:val="20"/>
        </w:rPr>
        <w:t xml:space="preserve">Murray, K (2013), </w:t>
      </w:r>
      <w:r w:rsidR="000B16F5" w:rsidRPr="000B16F5">
        <w:rPr>
          <w:rFonts w:cstheme="minorHAnsi"/>
          <w:i/>
          <w:iCs/>
          <w:sz w:val="20"/>
          <w:szCs w:val="20"/>
        </w:rPr>
        <w:t>Access to the labour market: Some statistical comparisons of African and Caribbean experiences</w:t>
      </w:r>
      <w:r w:rsidR="000B16F5" w:rsidRPr="000B16F5">
        <w:rPr>
          <w:rFonts w:cstheme="minorHAnsi"/>
          <w:sz w:val="20"/>
          <w:szCs w:val="20"/>
        </w:rPr>
        <w:t>; BTEG.</w:t>
      </w:r>
    </w:p>
  </w:footnote>
  <w:footnote w:id="9">
    <w:p w14:paraId="3B61D101" w14:textId="311919D1" w:rsidR="00D40279" w:rsidRDefault="00D40279">
      <w:pPr>
        <w:pStyle w:val="FootnoteText"/>
      </w:pPr>
      <w:r>
        <w:rPr>
          <w:rStyle w:val="FootnoteReference"/>
        </w:rPr>
        <w:footnoteRef/>
      </w:r>
      <w:r>
        <w:t xml:space="preserve"> </w:t>
      </w:r>
      <w:r w:rsidR="00256C4E">
        <w:t xml:space="preserve">Khan, O (2018), </w:t>
      </w:r>
      <w:r w:rsidR="00256C4E" w:rsidRPr="00F87E2D">
        <w:rPr>
          <w:i/>
          <w:iCs/>
        </w:rPr>
        <w:t xml:space="preserve">The Colour of money: how racial inequalities obstruct a fair and </w:t>
      </w:r>
      <w:r w:rsidR="00791714" w:rsidRPr="00F87E2D">
        <w:rPr>
          <w:i/>
          <w:iCs/>
        </w:rPr>
        <w:t>resilient economy</w:t>
      </w:r>
      <w:r w:rsidR="00791714">
        <w:t>; The Runnymede Trust</w:t>
      </w:r>
    </w:p>
  </w:footnote>
  <w:footnote w:id="10">
    <w:p w14:paraId="6963515F" w14:textId="70AD7D55" w:rsidR="00584487" w:rsidRPr="00F87E2D" w:rsidRDefault="00584487" w:rsidP="00F87E2D">
      <w:pPr>
        <w:rPr>
          <w:sz w:val="20"/>
          <w:szCs w:val="20"/>
        </w:rPr>
      </w:pPr>
      <w:r w:rsidRPr="00F87E2D">
        <w:rPr>
          <w:rStyle w:val="FootnoteReference"/>
          <w:sz w:val="20"/>
          <w:szCs w:val="20"/>
        </w:rPr>
        <w:footnoteRef/>
      </w:r>
      <w:r w:rsidRPr="00F87E2D">
        <w:rPr>
          <w:sz w:val="20"/>
          <w:szCs w:val="20"/>
        </w:rPr>
        <w:t xml:space="preserve"> </w:t>
      </w:r>
      <w:r w:rsidR="00F87E2D" w:rsidRPr="00F87E2D">
        <w:rPr>
          <w:rFonts w:cstheme="minorHAnsi"/>
          <w:sz w:val="20"/>
          <w:szCs w:val="20"/>
        </w:rPr>
        <w:t xml:space="preserve">All Party Parliamentary Group Youth Employment Report (2021), </w:t>
      </w:r>
      <w:r w:rsidR="00F87E2D" w:rsidRPr="00F87E2D">
        <w:rPr>
          <w:rFonts w:cstheme="minorHAnsi"/>
          <w:i/>
          <w:iCs/>
          <w:sz w:val="20"/>
          <w:szCs w:val="20"/>
        </w:rPr>
        <w:t>Making Youth Employment Policy Work, September 2020 – December 2020</w:t>
      </w:r>
      <w:r w:rsidR="00F87E2D" w:rsidRPr="00F87E2D">
        <w:rPr>
          <w:rFonts w:cstheme="minorHAnsi"/>
          <w:sz w:val="20"/>
          <w:szCs w:val="20"/>
        </w:rPr>
        <w:t xml:space="preserve">; APPG </w:t>
      </w:r>
    </w:p>
  </w:footnote>
  <w:footnote w:id="11">
    <w:p w14:paraId="3F68FF28" w14:textId="32C48F18" w:rsidR="000257B6" w:rsidRPr="007C181E" w:rsidRDefault="000257B6" w:rsidP="000257B6">
      <w:pPr>
        <w:pStyle w:val="p1"/>
        <w:shd w:val="clear" w:color="auto" w:fill="FFFFFF"/>
        <w:spacing w:before="0" w:beforeAutospacing="0" w:after="300" w:afterAutospacing="0"/>
        <w:rPr>
          <w:rFonts w:asciiTheme="minorHAnsi" w:hAnsiTheme="minorHAnsi" w:cstheme="minorHAnsi"/>
          <w:color w:val="333E46"/>
          <w:sz w:val="20"/>
          <w:szCs w:val="20"/>
        </w:rPr>
      </w:pPr>
      <w:r w:rsidRPr="00253748">
        <w:rPr>
          <w:rStyle w:val="FootnoteReference"/>
          <w:rFonts w:asciiTheme="minorHAnsi" w:hAnsiTheme="minorHAnsi" w:cstheme="minorHAnsi"/>
          <w:sz w:val="20"/>
          <w:szCs w:val="20"/>
        </w:rPr>
        <w:footnoteRef/>
      </w:r>
      <w:r w:rsidRPr="00253748">
        <w:rPr>
          <w:rFonts w:asciiTheme="minorHAnsi" w:hAnsiTheme="minorHAnsi" w:cstheme="minorHAnsi"/>
          <w:sz w:val="20"/>
          <w:szCs w:val="20"/>
        </w:rPr>
        <w:t xml:space="preserve"> </w:t>
      </w:r>
      <w:r w:rsidRPr="00253748">
        <w:rPr>
          <w:rStyle w:val="s1"/>
          <w:rFonts w:asciiTheme="minorHAnsi" w:hAnsiTheme="minorHAnsi" w:cstheme="minorHAnsi"/>
          <w:sz w:val="20"/>
          <w:szCs w:val="20"/>
        </w:rPr>
        <w:t xml:space="preserve">In a bid to tackle this, Trust for London, City Bridge Trust and </w:t>
      </w:r>
      <w:r w:rsidR="003A02E5">
        <w:rPr>
          <w:rStyle w:val="s1"/>
          <w:rFonts w:asciiTheme="minorHAnsi" w:hAnsiTheme="minorHAnsi" w:cstheme="minorHAnsi"/>
          <w:sz w:val="20"/>
          <w:szCs w:val="20"/>
        </w:rPr>
        <w:t>ARE</w:t>
      </w:r>
      <w:r w:rsidRPr="00253748">
        <w:rPr>
          <w:rStyle w:val="s1"/>
          <w:rFonts w:asciiTheme="minorHAnsi" w:hAnsiTheme="minorHAnsi" w:cstheme="minorHAnsi"/>
          <w:sz w:val="20"/>
          <w:szCs w:val="20"/>
        </w:rPr>
        <w:t xml:space="preserve"> have been working together on the </w:t>
      </w:r>
      <w:hyperlink r:id="rId3" w:history="1">
        <w:r w:rsidRPr="00253748">
          <w:rPr>
            <w:rStyle w:val="Hyperlink"/>
            <w:rFonts w:asciiTheme="minorHAnsi" w:hAnsiTheme="minorHAnsi" w:cstheme="minorHAnsi"/>
            <w:sz w:val="20"/>
            <w:szCs w:val="20"/>
          </w:rPr>
          <w:t>Moving on Up</w:t>
        </w:r>
      </w:hyperlink>
      <w:r w:rsidRPr="00253748">
        <w:rPr>
          <w:rStyle w:val="s1"/>
          <w:rFonts w:asciiTheme="minorHAnsi" w:hAnsiTheme="minorHAnsi" w:cstheme="minorHAnsi"/>
          <w:sz w:val="20"/>
          <w:szCs w:val="20"/>
        </w:rPr>
        <w:t> initiative, a programme to improve employment outcomes for young black men in London. See</w:t>
      </w:r>
      <w:r w:rsidRPr="007C181E">
        <w:rPr>
          <w:rStyle w:val="s1"/>
          <w:rFonts w:asciiTheme="minorHAnsi" w:hAnsiTheme="minorHAnsi" w:cstheme="minorHAnsi"/>
          <w:color w:val="333E46"/>
          <w:sz w:val="20"/>
          <w:szCs w:val="20"/>
        </w:rPr>
        <w:t xml:space="preserve">: </w:t>
      </w:r>
      <w:hyperlink r:id="rId4" w:history="1">
        <w:r w:rsidRPr="007C181E">
          <w:rPr>
            <w:rStyle w:val="Hyperlink"/>
            <w:rFonts w:asciiTheme="minorHAnsi" w:hAnsiTheme="minorHAnsi" w:cstheme="minorHAnsi"/>
            <w:sz w:val="20"/>
            <w:szCs w:val="20"/>
          </w:rPr>
          <w:t>Increasing Opportunities for Young Black Men in London | Black Training and Enterprise Group (bteg.co.uk)</w:t>
        </w:r>
      </w:hyperlink>
      <w:r w:rsidRPr="007C181E">
        <w:rPr>
          <w:rFonts w:asciiTheme="minorHAnsi" w:hAnsiTheme="minorHAnsi" w:cstheme="minorHAnsi"/>
          <w:sz w:val="20"/>
          <w:szCs w:val="20"/>
        </w:rPr>
        <w:t xml:space="preserve">; </w:t>
      </w:r>
      <w:hyperlink r:id="rId5" w:history="1">
        <w:r w:rsidRPr="007C181E">
          <w:rPr>
            <w:rStyle w:val="Hyperlink"/>
            <w:rFonts w:asciiTheme="minorHAnsi" w:hAnsiTheme="minorHAnsi" w:cstheme="minorHAnsi"/>
            <w:sz w:val="20"/>
            <w:szCs w:val="20"/>
          </w:rPr>
          <w:t>Moving on Up, taking action on unemployment rates for young Black men | Black Training and Enterprise Group (bteg.co.uk)</w:t>
        </w:r>
      </w:hyperlink>
    </w:p>
  </w:footnote>
  <w:footnote w:id="12">
    <w:p w14:paraId="3A1164E4" w14:textId="77777777" w:rsidR="000257B6" w:rsidRDefault="000257B6" w:rsidP="000257B6">
      <w:pPr>
        <w:pStyle w:val="FootnoteText"/>
      </w:pPr>
      <w:r>
        <w:rPr>
          <w:rStyle w:val="FootnoteReference"/>
        </w:rPr>
        <w:footnoteRef/>
      </w:r>
      <w:r>
        <w:t xml:space="preserve"> </w:t>
      </w:r>
      <w:hyperlink r:id="rId6" w:history="1">
        <w:r>
          <w:rPr>
            <w:rStyle w:val="Hyperlink"/>
          </w:rPr>
          <w:t>Dataset Search - London Datastore</w:t>
        </w:r>
      </w:hyperlink>
    </w:p>
  </w:footnote>
  <w:footnote w:id="13">
    <w:p w14:paraId="485863FB" w14:textId="77777777" w:rsidR="000257B6" w:rsidRDefault="000257B6" w:rsidP="000257B6">
      <w:pPr>
        <w:pStyle w:val="FootnoteText"/>
      </w:pPr>
      <w:r>
        <w:rPr>
          <w:rStyle w:val="FootnoteReference"/>
        </w:rPr>
        <w:footnoteRef/>
      </w:r>
      <w:r>
        <w:t xml:space="preserve"> </w:t>
      </w:r>
      <w:hyperlink r:id="rId7" w:history="1">
        <w:r>
          <w:rPr>
            <w:rStyle w:val="Hyperlink"/>
          </w:rPr>
          <w:t>Home - Office for National Statistics (ons.gov.uk)</w:t>
        </w:r>
      </w:hyperlink>
    </w:p>
  </w:footnote>
  <w:footnote w:id="14">
    <w:p w14:paraId="031C4C2C" w14:textId="37A000E7" w:rsidR="00F94071" w:rsidRPr="00AA4E76" w:rsidRDefault="00F94071" w:rsidP="003D23C9">
      <w:pPr>
        <w:rPr>
          <w:rFonts w:cstheme="minorHAnsi"/>
        </w:rPr>
      </w:pPr>
      <w:r w:rsidRPr="00AA4E76">
        <w:rPr>
          <w:rStyle w:val="FootnoteReference"/>
          <w:rFonts w:cstheme="minorHAnsi"/>
          <w:sz w:val="20"/>
          <w:szCs w:val="20"/>
        </w:rPr>
        <w:footnoteRef/>
      </w:r>
      <w:r w:rsidRPr="00AA4E76">
        <w:rPr>
          <w:rFonts w:cstheme="minorHAnsi"/>
          <w:sz w:val="20"/>
          <w:szCs w:val="20"/>
        </w:rPr>
        <w:t xml:space="preserve"> The </w:t>
      </w:r>
      <w:r w:rsidRPr="00FF6178">
        <w:rPr>
          <w:rFonts w:cstheme="minorHAnsi"/>
          <w:i/>
          <w:iCs/>
          <w:sz w:val="20"/>
          <w:szCs w:val="20"/>
          <w:bdr w:val="none" w:sz="0" w:space="0" w:color="auto" w:frame="1"/>
        </w:rPr>
        <w:t>Indices of Multiple Deprivation</w:t>
      </w:r>
      <w:r w:rsidRPr="00AA4E76">
        <w:rPr>
          <w:rFonts w:cstheme="minorHAnsi"/>
          <w:sz w:val="20"/>
          <w:szCs w:val="20"/>
        </w:rPr>
        <w:t> (IMD) are a measure of relative deprivation used to rank neighbourhoods across the UK. Deprivation is defined as </w:t>
      </w:r>
      <w:r w:rsidRPr="00AA4E76">
        <w:rPr>
          <w:rFonts w:cstheme="minorHAnsi"/>
          <w:i/>
          <w:iCs/>
          <w:sz w:val="20"/>
          <w:szCs w:val="20"/>
          <w:bdr w:val="none" w:sz="0" w:space="0" w:color="auto" w:frame="1"/>
        </w:rPr>
        <w:t>‘a lack of…’</w:t>
      </w:r>
      <w:r>
        <w:rPr>
          <w:rFonts w:cstheme="minorHAnsi"/>
          <w:sz w:val="20"/>
          <w:szCs w:val="20"/>
        </w:rPr>
        <w:t xml:space="preserve"> with the </w:t>
      </w:r>
      <w:r w:rsidRPr="00AA4E76">
        <w:rPr>
          <w:rFonts w:cstheme="minorHAnsi"/>
          <w:sz w:val="20"/>
          <w:szCs w:val="20"/>
        </w:rPr>
        <w:t xml:space="preserve">IMD </w:t>
      </w:r>
      <w:r>
        <w:rPr>
          <w:rFonts w:cstheme="minorHAnsi"/>
          <w:sz w:val="20"/>
          <w:szCs w:val="20"/>
        </w:rPr>
        <w:t>i</w:t>
      </w:r>
      <w:r w:rsidRPr="00AA4E76">
        <w:rPr>
          <w:rFonts w:cstheme="minorHAnsi"/>
          <w:sz w:val="20"/>
          <w:szCs w:val="20"/>
        </w:rPr>
        <w:t xml:space="preserve">ntended to offer multidimensional information on material living conditions in an area or neighbourhood based on a ‘lack of’ </w:t>
      </w:r>
      <w:r>
        <w:rPr>
          <w:rFonts w:cstheme="minorHAnsi"/>
          <w:sz w:val="20"/>
          <w:szCs w:val="20"/>
        </w:rPr>
        <w:t xml:space="preserve">crucial socio-economic imperatives that is likely to </w:t>
      </w:r>
      <w:r w:rsidRPr="00AA4E76">
        <w:rPr>
          <w:rFonts w:cstheme="minorHAnsi"/>
          <w:sz w:val="20"/>
          <w:szCs w:val="20"/>
        </w:rPr>
        <w:t>caus</w:t>
      </w:r>
      <w:r>
        <w:rPr>
          <w:rFonts w:cstheme="minorHAnsi"/>
          <w:sz w:val="20"/>
          <w:szCs w:val="20"/>
        </w:rPr>
        <w:t xml:space="preserve">e </w:t>
      </w:r>
      <w:r w:rsidRPr="00AA4E76">
        <w:rPr>
          <w:rFonts w:cstheme="minorHAnsi"/>
          <w:sz w:val="20"/>
          <w:szCs w:val="20"/>
        </w:rPr>
        <w:t xml:space="preserve">social or economic </w:t>
      </w:r>
      <w:r>
        <w:rPr>
          <w:rFonts w:cstheme="minorHAnsi"/>
          <w:sz w:val="20"/>
          <w:szCs w:val="20"/>
        </w:rPr>
        <w:t>distress,</w:t>
      </w:r>
      <w:r w:rsidRPr="00AA4E76">
        <w:rPr>
          <w:rFonts w:cstheme="minorHAnsi"/>
          <w:sz w:val="20"/>
          <w:szCs w:val="20"/>
        </w:rPr>
        <w:t xml:space="preserve"> relative to the rest of the country</w:t>
      </w:r>
      <w:r>
        <w:rPr>
          <w:rFonts w:cstheme="minorHAnsi"/>
          <w:sz w:val="20"/>
          <w:szCs w:val="20"/>
        </w:rPr>
        <w:t xml:space="preserve">. The IMD2019 is based on seven domains: </w:t>
      </w:r>
      <w:r w:rsidRPr="00FF6178">
        <w:rPr>
          <w:sz w:val="20"/>
          <w:szCs w:val="20"/>
        </w:rPr>
        <w:t>Income, employment, education, skills and training, health deprivation and disability, crime, barriers to housing and services and Living environment</w:t>
      </w:r>
      <w:r w:rsidRPr="00FF6178">
        <w:rPr>
          <w:rFonts w:cstheme="minorHAnsi"/>
          <w:sz w:val="20"/>
          <w:szCs w:val="20"/>
        </w:rPr>
        <w:t xml:space="preserve">, with the index ranking identifying areas of the country that are the most 10% deprived: see </w:t>
      </w:r>
      <w:hyperlink r:id="rId8" w:history="1">
        <w:r w:rsidRPr="00FF6178">
          <w:rPr>
            <w:rStyle w:val="Hyperlink"/>
            <w:rFonts w:cstheme="minorHAnsi"/>
            <w:sz w:val="20"/>
            <w:szCs w:val="20"/>
          </w:rPr>
          <w:t>English indices of deprivation 2019 - GOV.UK (www.gov.uk)</w:t>
        </w:r>
      </w:hyperlink>
    </w:p>
  </w:footnote>
  <w:footnote w:id="15">
    <w:p w14:paraId="1628D0C3" w14:textId="220A05BE" w:rsidR="003D23C9" w:rsidRDefault="003D23C9">
      <w:pPr>
        <w:pStyle w:val="FootnoteText"/>
      </w:pPr>
      <w:r>
        <w:rPr>
          <w:rStyle w:val="FootnoteReference"/>
        </w:rPr>
        <w:footnoteRef/>
      </w:r>
      <w:r>
        <w:t xml:space="preserve"> </w:t>
      </w:r>
      <w:hyperlink r:id="rId9" w:history="1">
        <w:r>
          <w:rPr>
            <w:rStyle w:val="Hyperlink"/>
          </w:rPr>
          <w:t>Dataset Search - London Datastore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A17"/>
    <w:multiLevelType w:val="hybridMultilevel"/>
    <w:tmpl w:val="6C160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A3A7A"/>
    <w:multiLevelType w:val="hybridMultilevel"/>
    <w:tmpl w:val="18A6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B23A5"/>
    <w:multiLevelType w:val="hybridMultilevel"/>
    <w:tmpl w:val="651A050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CF7B03"/>
    <w:multiLevelType w:val="hybridMultilevel"/>
    <w:tmpl w:val="F060592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794E36"/>
    <w:multiLevelType w:val="hybridMultilevel"/>
    <w:tmpl w:val="6A1C42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9F67F3"/>
    <w:multiLevelType w:val="hybridMultilevel"/>
    <w:tmpl w:val="589A9472"/>
    <w:lvl w:ilvl="0" w:tplc="8960D10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9A6094"/>
    <w:multiLevelType w:val="hybridMultilevel"/>
    <w:tmpl w:val="CB88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F36C0"/>
    <w:multiLevelType w:val="hybridMultilevel"/>
    <w:tmpl w:val="344CB4B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0B767B"/>
    <w:multiLevelType w:val="hybridMultilevel"/>
    <w:tmpl w:val="F06059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E774A6D"/>
    <w:multiLevelType w:val="hybridMultilevel"/>
    <w:tmpl w:val="FA18321A"/>
    <w:lvl w:ilvl="0" w:tplc="8EE8DADC">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B44976"/>
    <w:multiLevelType w:val="multilevel"/>
    <w:tmpl w:val="0F9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9"/>
  </w:num>
  <w:num w:numId="5">
    <w:abstractNumId w:val="0"/>
  </w:num>
  <w:num w:numId="6">
    <w:abstractNumId w:val="6"/>
  </w:num>
  <w:num w:numId="7">
    <w:abstractNumId w:val="7"/>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82"/>
    <w:rsid w:val="00003F61"/>
    <w:rsid w:val="00004039"/>
    <w:rsid w:val="00005996"/>
    <w:rsid w:val="0001201C"/>
    <w:rsid w:val="000257B6"/>
    <w:rsid w:val="0003020B"/>
    <w:rsid w:val="0003068F"/>
    <w:rsid w:val="00031EBE"/>
    <w:rsid w:val="0004050D"/>
    <w:rsid w:val="00045508"/>
    <w:rsid w:val="00051050"/>
    <w:rsid w:val="00052475"/>
    <w:rsid w:val="00067D76"/>
    <w:rsid w:val="00071C83"/>
    <w:rsid w:val="000743B0"/>
    <w:rsid w:val="00075F41"/>
    <w:rsid w:val="000865F9"/>
    <w:rsid w:val="00091EFA"/>
    <w:rsid w:val="000942C0"/>
    <w:rsid w:val="000976F4"/>
    <w:rsid w:val="000A3922"/>
    <w:rsid w:val="000B1329"/>
    <w:rsid w:val="000B16F5"/>
    <w:rsid w:val="000F707C"/>
    <w:rsid w:val="000F7E48"/>
    <w:rsid w:val="001052F5"/>
    <w:rsid w:val="00113CBB"/>
    <w:rsid w:val="00120BAD"/>
    <w:rsid w:val="001308E4"/>
    <w:rsid w:val="00140087"/>
    <w:rsid w:val="0014025A"/>
    <w:rsid w:val="001417DD"/>
    <w:rsid w:val="001432A0"/>
    <w:rsid w:val="00147CE5"/>
    <w:rsid w:val="00147FF2"/>
    <w:rsid w:val="00153FA8"/>
    <w:rsid w:val="0015433D"/>
    <w:rsid w:val="00154357"/>
    <w:rsid w:val="00163201"/>
    <w:rsid w:val="001767AE"/>
    <w:rsid w:val="001857D8"/>
    <w:rsid w:val="00186ECE"/>
    <w:rsid w:val="00187DAE"/>
    <w:rsid w:val="00192A09"/>
    <w:rsid w:val="001A4AF4"/>
    <w:rsid w:val="001B0EAC"/>
    <w:rsid w:val="001B3DB9"/>
    <w:rsid w:val="001B402F"/>
    <w:rsid w:val="001C7CA8"/>
    <w:rsid w:val="001E41AE"/>
    <w:rsid w:val="00206D55"/>
    <w:rsid w:val="00215CCB"/>
    <w:rsid w:val="002177FE"/>
    <w:rsid w:val="0022021D"/>
    <w:rsid w:val="0022043F"/>
    <w:rsid w:val="00226578"/>
    <w:rsid w:val="00233061"/>
    <w:rsid w:val="00237576"/>
    <w:rsid w:val="0025578E"/>
    <w:rsid w:val="00256C4E"/>
    <w:rsid w:val="00263A2D"/>
    <w:rsid w:val="002651EE"/>
    <w:rsid w:val="00283116"/>
    <w:rsid w:val="00296AB8"/>
    <w:rsid w:val="002B4B15"/>
    <w:rsid w:val="002B614C"/>
    <w:rsid w:val="002B64F1"/>
    <w:rsid w:val="002C3923"/>
    <w:rsid w:val="002D2FAF"/>
    <w:rsid w:val="002D354E"/>
    <w:rsid w:val="002E3CFB"/>
    <w:rsid w:val="002F3637"/>
    <w:rsid w:val="003036C1"/>
    <w:rsid w:val="00305614"/>
    <w:rsid w:val="00311F59"/>
    <w:rsid w:val="0031417C"/>
    <w:rsid w:val="00315D28"/>
    <w:rsid w:val="003167E2"/>
    <w:rsid w:val="00320774"/>
    <w:rsid w:val="00321A5F"/>
    <w:rsid w:val="0032579C"/>
    <w:rsid w:val="0033047B"/>
    <w:rsid w:val="00334AA4"/>
    <w:rsid w:val="00335B9A"/>
    <w:rsid w:val="00345F70"/>
    <w:rsid w:val="00346A9A"/>
    <w:rsid w:val="003471FF"/>
    <w:rsid w:val="00352C51"/>
    <w:rsid w:val="00355967"/>
    <w:rsid w:val="00371422"/>
    <w:rsid w:val="00371436"/>
    <w:rsid w:val="00371728"/>
    <w:rsid w:val="00372E8A"/>
    <w:rsid w:val="00380318"/>
    <w:rsid w:val="00380985"/>
    <w:rsid w:val="00383DC1"/>
    <w:rsid w:val="00384F7D"/>
    <w:rsid w:val="003A02E5"/>
    <w:rsid w:val="003A3FBD"/>
    <w:rsid w:val="003A4713"/>
    <w:rsid w:val="003C233A"/>
    <w:rsid w:val="003C3D97"/>
    <w:rsid w:val="003C72B4"/>
    <w:rsid w:val="003D23C9"/>
    <w:rsid w:val="003D27FA"/>
    <w:rsid w:val="003E7C1D"/>
    <w:rsid w:val="003F3771"/>
    <w:rsid w:val="003F4A5D"/>
    <w:rsid w:val="00405675"/>
    <w:rsid w:val="00432D5C"/>
    <w:rsid w:val="0043355C"/>
    <w:rsid w:val="00440E61"/>
    <w:rsid w:val="00447A7D"/>
    <w:rsid w:val="00452581"/>
    <w:rsid w:val="0045265D"/>
    <w:rsid w:val="00453E3B"/>
    <w:rsid w:val="00455166"/>
    <w:rsid w:val="0045562E"/>
    <w:rsid w:val="004573EE"/>
    <w:rsid w:val="00465860"/>
    <w:rsid w:val="004810AB"/>
    <w:rsid w:val="00484796"/>
    <w:rsid w:val="004A16AA"/>
    <w:rsid w:val="004A7E41"/>
    <w:rsid w:val="004B49C4"/>
    <w:rsid w:val="004B793C"/>
    <w:rsid w:val="004C01C1"/>
    <w:rsid w:val="004C2043"/>
    <w:rsid w:val="004C55C6"/>
    <w:rsid w:val="004D723B"/>
    <w:rsid w:val="004E3BBD"/>
    <w:rsid w:val="004F1740"/>
    <w:rsid w:val="00501074"/>
    <w:rsid w:val="00511CE3"/>
    <w:rsid w:val="0051275A"/>
    <w:rsid w:val="00515B74"/>
    <w:rsid w:val="00530F6E"/>
    <w:rsid w:val="00536243"/>
    <w:rsid w:val="005424C0"/>
    <w:rsid w:val="00542FF2"/>
    <w:rsid w:val="00545EAB"/>
    <w:rsid w:val="00551D94"/>
    <w:rsid w:val="0055304B"/>
    <w:rsid w:val="00554B1D"/>
    <w:rsid w:val="00554CC9"/>
    <w:rsid w:val="00556DEC"/>
    <w:rsid w:val="00566C41"/>
    <w:rsid w:val="0057468F"/>
    <w:rsid w:val="005759CD"/>
    <w:rsid w:val="00581B4C"/>
    <w:rsid w:val="00581EA9"/>
    <w:rsid w:val="00584487"/>
    <w:rsid w:val="005A532D"/>
    <w:rsid w:val="005A5EFE"/>
    <w:rsid w:val="005A7934"/>
    <w:rsid w:val="005B08B8"/>
    <w:rsid w:val="005B4408"/>
    <w:rsid w:val="005B716E"/>
    <w:rsid w:val="005D2365"/>
    <w:rsid w:val="005E71A7"/>
    <w:rsid w:val="0060350C"/>
    <w:rsid w:val="0061305C"/>
    <w:rsid w:val="00614276"/>
    <w:rsid w:val="00615410"/>
    <w:rsid w:val="0061620E"/>
    <w:rsid w:val="00630173"/>
    <w:rsid w:val="006313F4"/>
    <w:rsid w:val="006459A9"/>
    <w:rsid w:val="0065435B"/>
    <w:rsid w:val="00657F11"/>
    <w:rsid w:val="00662C42"/>
    <w:rsid w:val="00662C75"/>
    <w:rsid w:val="00673FAD"/>
    <w:rsid w:val="00677B2E"/>
    <w:rsid w:val="00681CE6"/>
    <w:rsid w:val="00692725"/>
    <w:rsid w:val="00694C17"/>
    <w:rsid w:val="006A50A2"/>
    <w:rsid w:val="006A60EE"/>
    <w:rsid w:val="006A6486"/>
    <w:rsid w:val="006B725A"/>
    <w:rsid w:val="006D2D88"/>
    <w:rsid w:val="006E03DF"/>
    <w:rsid w:val="006F11CA"/>
    <w:rsid w:val="007013C1"/>
    <w:rsid w:val="00705635"/>
    <w:rsid w:val="00706E76"/>
    <w:rsid w:val="0071099F"/>
    <w:rsid w:val="007274D5"/>
    <w:rsid w:val="007316A8"/>
    <w:rsid w:val="00735E0A"/>
    <w:rsid w:val="00743782"/>
    <w:rsid w:val="00743D5A"/>
    <w:rsid w:val="00771374"/>
    <w:rsid w:val="00772E1C"/>
    <w:rsid w:val="00780485"/>
    <w:rsid w:val="00787D0A"/>
    <w:rsid w:val="00791714"/>
    <w:rsid w:val="007A5F3E"/>
    <w:rsid w:val="007B1F7D"/>
    <w:rsid w:val="007B2694"/>
    <w:rsid w:val="007C2805"/>
    <w:rsid w:val="007E71BA"/>
    <w:rsid w:val="007E7C7A"/>
    <w:rsid w:val="007F70F6"/>
    <w:rsid w:val="008023A9"/>
    <w:rsid w:val="00813370"/>
    <w:rsid w:val="00822C0A"/>
    <w:rsid w:val="0082330B"/>
    <w:rsid w:val="0082423C"/>
    <w:rsid w:val="00824B5D"/>
    <w:rsid w:val="008344A0"/>
    <w:rsid w:val="00836A45"/>
    <w:rsid w:val="00853AD4"/>
    <w:rsid w:val="008570A0"/>
    <w:rsid w:val="00877573"/>
    <w:rsid w:val="00893E2A"/>
    <w:rsid w:val="008967CF"/>
    <w:rsid w:val="00897FD1"/>
    <w:rsid w:val="008B0529"/>
    <w:rsid w:val="008B0E33"/>
    <w:rsid w:val="008B1CA5"/>
    <w:rsid w:val="008B3C85"/>
    <w:rsid w:val="008B77B6"/>
    <w:rsid w:val="008E2D61"/>
    <w:rsid w:val="008E37E7"/>
    <w:rsid w:val="008E7882"/>
    <w:rsid w:val="00927566"/>
    <w:rsid w:val="0092766B"/>
    <w:rsid w:val="0093038A"/>
    <w:rsid w:val="00940680"/>
    <w:rsid w:val="00941991"/>
    <w:rsid w:val="00946364"/>
    <w:rsid w:val="0095230F"/>
    <w:rsid w:val="00962F77"/>
    <w:rsid w:val="009660C3"/>
    <w:rsid w:val="00977A15"/>
    <w:rsid w:val="009A0790"/>
    <w:rsid w:val="009A44A5"/>
    <w:rsid w:val="009A7864"/>
    <w:rsid w:val="009C2CE9"/>
    <w:rsid w:val="009C545D"/>
    <w:rsid w:val="009D2887"/>
    <w:rsid w:val="009D4C5E"/>
    <w:rsid w:val="009D7F62"/>
    <w:rsid w:val="009E57BA"/>
    <w:rsid w:val="009F6C7F"/>
    <w:rsid w:val="009F753E"/>
    <w:rsid w:val="009F7EDC"/>
    <w:rsid w:val="00A05EE7"/>
    <w:rsid w:val="00A1231C"/>
    <w:rsid w:val="00A16C42"/>
    <w:rsid w:val="00A22EDE"/>
    <w:rsid w:val="00A3570F"/>
    <w:rsid w:val="00A43875"/>
    <w:rsid w:val="00A46E60"/>
    <w:rsid w:val="00A51C58"/>
    <w:rsid w:val="00A635EB"/>
    <w:rsid w:val="00A63CC3"/>
    <w:rsid w:val="00A709B4"/>
    <w:rsid w:val="00A82934"/>
    <w:rsid w:val="00A86042"/>
    <w:rsid w:val="00A86A42"/>
    <w:rsid w:val="00A91738"/>
    <w:rsid w:val="00AA23B4"/>
    <w:rsid w:val="00AA2854"/>
    <w:rsid w:val="00AA43F5"/>
    <w:rsid w:val="00AC49F7"/>
    <w:rsid w:val="00AC4E82"/>
    <w:rsid w:val="00AC5250"/>
    <w:rsid w:val="00AC6F03"/>
    <w:rsid w:val="00B03A18"/>
    <w:rsid w:val="00B0430D"/>
    <w:rsid w:val="00B04AFC"/>
    <w:rsid w:val="00B06156"/>
    <w:rsid w:val="00B06F85"/>
    <w:rsid w:val="00B12693"/>
    <w:rsid w:val="00B12E6E"/>
    <w:rsid w:val="00B15C84"/>
    <w:rsid w:val="00B3090B"/>
    <w:rsid w:val="00B30A8E"/>
    <w:rsid w:val="00B4034C"/>
    <w:rsid w:val="00B45BCD"/>
    <w:rsid w:val="00B46500"/>
    <w:rsid w:val="00B96F00"/>
    <w:rsid w:val="00BB320A"/>
    <w:rsid w:val="00BD6D41"/>
    <w:rsid w:val="00BF0780"/>
    <w:rsid w:val="00BF6877"/>
    <w:rsid w:val="00C100B3"/>
    <w:rsid w:val="00C16D30"/>
    <w:rsid w:val="00C21A0F"/>
    <w:rsid w:val="00C22512"/>
    <w:rsid w:val="00C3574D"/>
    <w:rsid w:val="00C4678F"/>
    <w:rsid w:val="00C52C27"/>
    <w:rsid w:val="00C74137"/>
    <w:rsid w:val="00C93FDB"/>
    <w:rsid w:val="00C97888"/>
    <w:rsid w:val="00CA65F8"/>
    <w:rsid w:val="00CB765F"/>
    <w:rsid w:val="00CD15AE"/>
    <w:rsid w:val="00CD1920"/>
    <w:rsid w:val="00CD4147"/>
    <w:rsid w:val="00CD7435"/>
    <w:rsid w:val="00CE5697"/>
    <w:rsid w:val="00CF5608"/>
    <w:rsid w:val="00CF7A0E"/>
    <w:rsid w:val="00D307AA"/>
    <w:rsid w:val="00D40279"/>
    <w:rsid w:val="00D47E50"/>
    <w:rsid w:val="00D52F37"/>
    <w:rsid w:val="00D570B7"/>
    <w:rsid w:val="00D66E5F"/>
    <w:rsid w:val="00D825E3"/>
    <w:rsid w:val="00DA3AEB"/>
    <w:rsid w:val="00DB0608"/>
    <w:rsid w:val="00DC1205"/>
    <w:rsid w:val="00DD0703"/>
    <w:rsid w:val="00DD1A42"/>
    <w:rsid w:val="00DD323B"/>
    <w:rsid w:val="00DE6AE0"/>
    <w:rsid w:val="00DF26B2"/>
    <w:rsid w:val="00DF7A9D"/>
    <w:rsid w:val="00E01899"/>
    <w:rsid w:val="00E0675F"/>
    <w:rsid w:val="00E147F6"/>
    <w:rsid w:val="00E22BDD"/>
    <w:rsid w:val="00E34542"/>
    <w:rsid w:val="00E404FF"/>
    <w:rsid w:val="00E45127"/>
    <w:rsid w:val="00E47DC4"/>
    <w:rsid w:val="00E6158E"/>
    <w:rsid w:val="00E7307D"/>
    <w:rsid w:val="00E738EB"/>
    <w:rsid w:val="00EB74E6"/>
    <w:rsid w:val="00EC744F"/>
    <w:rsid w:val="00EC7F28"/>
    <w:rsid w:val="00ED5391"/>
    <w:rsid w:val="00ED75B6"/>
    <w:rsid w:val="00EE13BD"/>
    <w:rsid w:val="00EE6B5D"/>
    <w:rsid w:val="00EF01B3"/>
    <w:rsid w:val="00EF4B19"/>
    <w:rsid w:val="00EF538C"/>
    <w:rsid w:val="00F07D5F"/>
    <w:rsid w:val="00F17C7C"/>
    <w:rsid w:val="00F32406"/>
    <w:rsid w:val="00F409AA"/>
    <w:rsid w:val="00F53C08"/>
    <w:rsid w:val="00F6019F"/>
    <w:rsid w:val="00F625BB"/>
    <w:rsid w:val="00F70AD1"/>
    <w:rsid w:val="00F72805"/>
    <w:rsid w:val="00F73F81"/>
    <w:rsid w:val="00F80133"/>
    <w:rsid w:val="00F87E2D"/>
    <w:rsid w:val="00F94071"/>
    <w:rsid w:val="00F9680F"/>
    <w:rsid w:val="00FA1CF2"/>
    <w:rsid w:val="00FB0EF3"/>
    <w:rsid w:val="00FD0A72"/>
    <w:rsid w:val="00FE0839"/>
    <w:rsid w:val="00FF0291"/>
    <w:rsid w:val="00FF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936F"/>
  <w15:chartTrackingRefBased/>
  <w15:docId w15:val="{7325CC00-1E6C-4CB4-ADF5-845E82A4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E6B5D"/>
    <w:rPr>
      <w:vertAlign w:val="superscript"/>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E6B5D"/>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EE6B5D"/>
  </w:style>
  <w:style w:type="character" w:customStyle="1" w:styleId="None">
    <w:name w:val="None"/>
    <w:rsid w:val="00EE6B5D"/>
  </w:style>
  <w:style w:type="paragraph" w:customStyle="1" w:styleId="Body">
    <w:name w:val="Body"/>
    <w:rsid w:val="00EE6B5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EE6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B5D"/>
    <w:rPr>
      <w:sz w:val="20"/>
      <w:szCs w:val="20"/>
    </w:rPr>
  </w:style>
  <w:style w:type="paragraph" w:styleId="NormalWeb">
    <w:name w:val="Normal (Web)"/>
    <w:basedOn w:val="Normal"/>
    <w:uiPriority w:val="99"/>
    <w:unhideWhenUsed/>
    <w:rsid w:val="00EE6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6B5D"/>
    <w:rPr>
      <w:color w:val="0000FF"/>
      <w:u w:val="single"/>
    </w:rPr>
  </w:style>
  <w:style w:type="paragraph" w:customStyle="1" w:styleId="p1">
    <w:name w:val="p1"/>
    <w:basedOn w:val="Normal"/>
    <w:rsid w:val="00EE6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E6B5D"/>
  </w:style>
  <w:style w:type="table" w:styleId="TableGrid">
    <w:name w:val="Table Grid"/>
    <w:basedOn w:val="TableNormal"/>
    <w:uiPriority w:val="39"/>
    <w:rsid w:val="0074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7A"/>
  </w:style>
  <w:style w:type="paragraph" w:styleId="Footer">
    <w:name w:val="footer"/>
    <w:basedOn w:val="Normal"/>
    <w:link w:val="FooterChar"/>
    <w:uiPriority w:val="99"/>
    <w:unhideWhenUsed/>
    <w:rsid w:val="007E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7A"/>
  </w:style>
  <w:style w:type="paragraph" w:customStyle="1" w:styleId="default-style">
    <w:name w:val="default-style"/>
    <w:basedOn w:val="Normal"/>
    <w:rsid w:val="00F07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47F6"/>
    <w:rPr>
      <w:color w:val="605E5C"/>
      <w:shd w:val="clear" w:color="auto" w:fill="E1DFDD"/>
    </w:rPr>
  </w:style>
  <w:style w:type="character" w:styleId="Emphasis">
    <w:name w:val="Emphasis"/>
    <w:basedOn w:val="DefaultParagraphFont"/>
    <w:uiPriority w:val="20"/>
    <w:qFormat/>
    <w:rsid w:val="00371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5993">
      <w:bodyDiv w:val="1"/>
      <w:marLeft w:val="0"/>
      <w:marRight w:val="0"/>
      <w:marTop w:val="0"/>
      <w:marBottom w:val="0"/>
      <w:divBdr>
        <w:top w:val="none" w:sz="0" w:space="0" w:color="auto"/>
        <w:left w:val="none" w:sz="0" w:space="0" w:color="auto"/>
        <w:bottom w:val="none" w:sz="0" w:space="0" w:color="auto"/>
        <w:right w:val="none" w:sz="0" w:space="0" w:color="auto"/>
      </w:divBdr>
      <w:divsChild>
        <w:div w:id="369307399">
          <w:marLeft w:val="0"/>
          <w:marRight w:val="0"/>
          <w:marTop w:val="0"/>
          <w:marBottom w:val="0"/>
          <w:divBdr>
            <w:top w:val="none" w:sz="0" w:space="0" w:color="auto"/>
            <w:left w:val="none" w:sz="0" w:space="0" w:color="auto"/>
            <w:bottom w:val="none" w:sz="0" w:space="0" w:color="auto"/>
            <w:right w:val="none" w:sz="0" w:space="0" w:color="auto"/>
          </w:divBdr>
        </w:div>
        <w:div w:id="851142371">
          <w:marLeft w:val="0"/>
          <w:marRight w:val="0"/>
          <w:marTop w:val="0"/>
          <w:marBottom w:val="0"/>
          <w:divBdr>
            <w:top w:val="none" w:sz="0" w:space="0" w:color="auto"/>
            <w:left w:val="none" w:sz="0" w:space="0" w:color="auto"/>
            <w:bottom w:val="none" w:sz="0" w:space="0" w:color="auto"/>
            <w:right w:val="none" w:sz="0" w:space="0" w:color="auto"/>
          </w:divBdr>
        </w:div>
        <w:div w:id="1108549373">
          <w:marLeft w:val="0"/>
          <w:marRight w:val="0"/>
          <w:marTop w:val="0"/>
          <w:marBottom w:val="0"/>
          <w:divBdr>
            <w:top w:val="none" w:sz="0" w:space="0" w:color="auto"/>
            <w:left w:val="none" w:sz="0" w:space="0" w:color="auto"/>
            <w:bottom w:val="none" w:sz="0" w:space="0" w:color="auto"/>
            <w:right w:val="none" w:sz="0" w:space="0" w:color="auto"/>
          </w:divBdr>
        </w:div>
      </w:divsChild>
    </w:div>
    <w:div w:id="1081290952">
      <w:bodyDiv w:val="1"/>
      <w:marLeft w:val="0"/>
      <w:marRight w:val="0"/>
      <w:marTop w:val="0"/>
      <w:marBottom w:val="0"/>
      <w:divBdr>
        <w:top w:val="none" w:sz="0" w:space="0" w:color="auto"/>
        <w:left w:val="none" w:sz="0" w:space="0" w:color="auto"/>
        <w:bottom w:val="none" w:sz="0" w:space="0" w:color="auto"/>
        <w:right w:val="none" w:sz="0" w:space="0" w:color="auto"/>
      </w:divBdr>
    </w:div>
    <w:div w:id="12639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english-indices-of-deprivation-2019" TargetMode="External"/><Relationship Id="rId3" Type="http://schemas.openxmlformats.org/officeDocument/2006/relationships/hyperlink" Target="https://www.bteg.co.uk/movingonup/campaign" TargetMode="External"/><Relationship Id="rId7" Type="http://schemas.openxmlformats.org/officeDocument/2006/relationships/hyperlink" Target="https://www.ons.gov.uk/" TargetMode="External"/><Relationship Id="rId2" Type="http://schemas.openxmlformats.org/officeDocument/2006/relationships/hyperlink" Target="file:///C:\Users\karlm\OneDrive\Research%20reports\LSL-SRHS_2019-24_Statistical-appendix%20(2020).pdf" TargetMode="External"/><Relationship Id="rId1" Type="http://schemas.openxmlformats.org/officeDocument/2006/relationships/hyperlink" Target="https://www.london.gov.uk/press-releases/mayoral/myends-funding-to-help-fight-causes-of-crime" TargetMode="External"/><Relationship Id="rId6" Type="http://schemas.openxmlformats.org/officeDocument/2006/relationships/hyperlink" Target="https://data.london.gov.uk/dataset/" TargetMode="External"/><Relationship Id="rId5" Type="http://schemas.openxmlformats.org/officeDocument/2006/relationships/hyperlink" Target="https://www.bteg.co.uk/content/moving-taking-action-unemployment-rates-young-black-men" TargetMode="External"/><Relationship Id="rId4" Type="http://schemas.openxmlformats.org/officeDocument/2006/relationships/hyperlink" Target="https://www.bteg.co.uk/movingonup/campaign" TargetMode="External"/><Relationship Id="rId9" Type="http://schemas.openxmlformats.org/officeDocument/2006/relationships/hyperlink" Target="https://data.london.gov.uk/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4" ma:contentTypeDescription="Create a new document." ma:contentTypeScope="" ma:versionID="ea5443e11c0949196e2b42421c3808cc">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4da784524578f5d74e776bcb31a4da5d"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21E02-91E7-4F90-8E94-1848F951D3EB}">
  <ds:schemaRefs>
    <ds:schemaRef ds:uri="http://schemas.openxmlformats.org/officeDocument/2006/bibliography"/>
  </ds:schemaRefs>
</ds:datastoreItem>
</file>

<file path=customXml/itemProps2.xml><?xml version="1.0" encoding="utf-8"?>
<ds:datastoreItem xmlns:ds="http://schemas.openxmlformats.org/officeDocument/2006/customXml" ds:itemID="{E60D5CC2-687B-4B69-AFD6-218C402AD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F5322-1342-4ECE-BEDB-2851A265F9DA}">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4.xml><?xml version="1.0" encoding="utf-8"?>
<ds:datastoreItem xmlns:ds="http://schemas.openxmlformats.org/officeDocument/2006/customXml" ds:itemID="{F37208CF-EE10-47B4-BA82-83DC37E01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Murray</dc:creator>
  <cp:keywords/>
  <dc:description/>
  <cp:lastModifiedBy>Ola Opoosun</cp:lastModifiedBy>
  <cp:revision>12</cp:revision>
  <cp:lastPrinted>2022-02-11T17:13:00Z</cp:lastPrinted>
  <dcterms:created xsi:type="dcterms:W3CDTF">2022-02-28T11:21:00Z</dcterms:created>
  <dcterms:modified xsi:type="dcterms:W3CDTF">2022-03-01T08:25:00Z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0x010100F6CF41FFCBB15F419EFC2730FA1747F7</vt:lpwstr>
  </property>
  <property fmtid="{D5CDD505-2E9C-101B-9397-08002B2CF9AE}" pid="3" name="MediaServiceImageTags">
    <vt:lpwstr/>
  </property>
</Properties>
</file>